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1"/>
        <w:tblW w:w="10705" w:type="dxa"/>
        <w:jc w:val="center"/>
        <w:tblLook w:val="04A0" w:firstRow="1" w:lastRow="0" w:firstColumn="1" w:lastColumn="0" w:noHBand="0" w:noVBand="1"/>
      </w:tblPr>
      <w:tblGrid>
        <w:gridCol w:w="3145"/>
        <w:gridCol w:w="1260"/>
        <w:gridCol w:w="1440"/>
        <w:gridCol w:w="1620"/>
        <w:gridCol w:w="1800"/>
        <w:gridCol w:w="1440"/>
      </w:tblGrid>
      <w:tr w:rsidR="004A0B4B" w:rsidRPr="004F13A4" w:rsidTr="00831FAA">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45" w:type="dxa"/>
            <w:noWrap/>
            <w:hideMark/>
          </w:tcPr>
          <w:p w:rsidR="00DA5EFA" w:rsidRPr="004F13A4" w:rsidRDefault="004A0B4B" w:rsidP="004A0B4B">
            <w:pPr>
              <w:jc w:val="center"/>
              <w:rPr>
                <w:rFonts w:ascii="Calibri" w:eastAsia="Times New Roman" w:hAnsi="Calibri" w:cs="Times New Roman"/>
              </w:rPr>
            </w:pPr>
            <w:bookmarkStart w:id="0" w:name="_GoBack"/>
            <w:bookmarkEnd w:id="0"/>
            <w:r w:rsidRPr="004A0B4B">
              <w:rPr>
                <w:rFonts w:ascii="Calibri" w:eastAsia="Times New Roman" w:hAnsi="Calibri" w:cs="Times New Roman"/>
              </w:rPr>
              <w:t xml:space="preserve">Top 10 </w:t>
            </w:r>
            <w:r w:rsidR="00DA5EFA" w:rsidRPr="004F13A4">
              <w:rPr>
                <w:rFonts w:ascii="Calibri" w:eastAsia="Times New Roman" w:hAnsi="Calibri" w:cs="Times New Roman"/>
              </w:rPr>
              <w:t xml:space="preserve"> ADULT CANCERS </w:t>
            </w:r>
          </w:p>
          <w:p w:rsidR="004A0B4B" w:rsidRPr="004A0B4B" w:rsidRDefault="00CC2C72" w:rsidP="004A0B4B">
            <w:pPr>
              <w:jc w:val="center"/>
              <w:rPr>
                <w:rFonts w:ascii="Calibri" w:eastAsia="Times New Roman" w:hAnsi="Calibri" w:cs="Times New Roman"/>
              </w:rPr>
            </w:pPr>
            <w:r>
              <w:rPr>
                <w:rFonts w:ascii="Calibri" w:eastAsia="Times New Roman" w:hAnsi="Calibri" w:cs="Times New Roman"/>
              </w:rPr>
              <w:t>Republic of Marshall Islands</w:t>
            </w:r>
          </w:p>
        </w:tc>
        <w:tc>
          <w:tcPr>
            <w:tcW w:w="1260" w:type="dxa"/>
            <w:noWrap/>
            <w:hideMark/>
          </w:tcPr>
          <w:p w:rsidR="004A0B4B" w:rsidRPr="004A0B4B" w:rsidRDefault="004A0B4B" w:rsidP="004F13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4F13A4">
              <w:rPr>
                <w:rFonts w:ascii="Calibri" w:eastAsia="Times New Roman" w:hAnsi="Calibri" w:cs="Times New Roman"/>
                <w:bCs w:val="0"/>
              </w:rPr>
              <w:t xml:space="preserve"># of </w:t>
            </w:r>
            <w:r w:rsidRPr="004A0B4B">
              <w:rPr>
                <w:rFonts w:ascii="Calibri" w:eastAsia="Times New Roman" w:hAnsi="Calibri" w:cs="Times New Roman"/>
              </w:rPr>
              <w:t>Cases</w:t>
            </w:r>
          </w:p>
        </w:tc>
        <w:tc>
          <w:tcPr>
            <w:tcW w:w="1440" w:type="dxa"/>
            <w:noWrap/>
            <w:hideMark/>
          </w:tcPr>
          <w:p w:rsidR="004A0B4B" w:rsidRPr="004A0B4B" w:rsidRDefault="004A0B4B" w:rsidP="004F13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4A0B4B">
              <w:rPr>
                <w:rFonts w:ascii="Calibri" w:eastAsia="Times New Roman" w:hAnsi="Calibri" w:cs="Times New Roman"/>
              </w:rPr>
              <w:t>Crude</w:t>
            </w:r>
            <w:r w:rsidRPr="004F13A4">
              <w:rPr>
                <w:rFonts w:ascii="Calibri" w:eastAsia="Times New Roman" w:hAnsi="Calibri" w:cs="Times New Roman"/>
                <w:bCs w:val="0"/>
              </w:rPr>
              <w:t xml:space="preserve"> rate</w:t>
            </w:r>
          </w:p>
        </w:tc>
        <w:tc>
          <w:tcPr>
            <w:tcW w:w="1620" w:type="dxa"/>
            <w:noWrap/>
            <w:hideMark/>
          </w:tcPr>
          <w:p w:rsidR="004A0B4B" w:rsidRPr="004F13A4" w:rsidRDefault="004A0B4B" w:rsidP="004F13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4F13A4">
              <w:rPr>
                <w:rFonts w:ascii="Calibri" w:eastAsia="Times New Roman" w:hAnsi="Calibri" w:cs="Times New Roman"/>
                <w:bCs w:val="0"/>
              </w:rPr>
              <w:t>Incidence rate</w:t>
            </w:r>
          </w:p>
          <w:p w:rsidR="004A0B4B" w:rsidRPr="004A0B4B" w:rsidRDefault="004A0B4B" w:rsidP="004F13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4F13A4">
              <w:rPr>
                <w:rFonts w:ascii="Calibri" w:eastAsia="Times New Roman" w:hAnsi="Calibri" w:cs="Times New Roman"/>
                <w:bCs w:val="0"/>
              </w:rPr>
              <w:t xml:space="preserve">Adj to </w:t>
            </w:r>
            <w:r w:rsidRPr="004A0B4B">
              <w:rPr>
                <w:rFonts w:ascii="Calibri" w:eastAsia="Times New Roman" w:hAnsi="Calibri" w:cs="Times New Roman"/>
              </w:rPr>
              <w:t>US Std</w:t>
            </w:r>
            <w:r w:rsidR="002468A4">
              <w:rPr>
                <w:rFonts w:ascii="Calibri" w:eastAsia="Times New Roman" w:hAnsi="Calibri" w:cs="Times New Roman"/>
              </w:rPr>
              <w:t xml:space="preserve"> population</w:t>
            </w:r>
          </w:p>
        </w:tc>
        <w:tc>
          <w:tcPr>
            <w:tcW w:w="1800" w:type="dxa"/>
            <w:noWrap/>
            <w:hideMark/>
          </w:tcPr>
          <w:p w:rsidR="004A0B4B" w:rsidRPr="004A0B4B" w:rsidRDefault="002468A4" w:rsidP="004F13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bCs w:val="0"/>
              </w:rPr>
              <w:t>Incidence Rate A</w:t>
            </w:r>
            <w:r w:rsidR="004A0B4B" w:rsidRPr="004F13A4">
              <w:rPr>
                <w:rFonts w:ascii="Calibri" w:eastAsia="Times New Roman" w:hAnsi="Calibri" w:cs="Times New Roman"/>
                <w:bCs w:val="0"/>
              </w:rPr>
              <w:t xml:space="preserve">dj to </w:t>
            </w:r>
            <w:r w:rsidR="004A0B4B" w:rsidRPr="004A0B4B">
              <w:rPr>
                <w:rFonts w:ascii="Calibri" w:eastAsia="Times New Roman" w:hAnsi="Calibri" w:cs="Times New Roman"/>
              </w:rPr>
              <w:t>World Std</w:t>
            </w:r>
            <w:r>
              <w:rPr>
                <w:rFonts w:ascii="Calibri" w:eastAsia="Times New Roman" w:hAnsi="Calibri" w:cs="Times New Roman"/>
              </w:rPr>
              <w:t xml:space="preserve"> population</w:t>
            </w:r>
          </w:p>
        </w:tc>
        <w:tc>
          <w:tcPr>
            <w:tcW w:w="1440" w:type="dxa"/>
            <w:noWrap/>
            <w:hideMark/>
          </w:tcPr>
          <w:p w:rsidR="008271A8" w:rsidRDefault="008271A8" w:rsidP="004F13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US</w:t>
            </w:r>
          </w:p>
          <w:p w:rsidR="004A0B4B" w:rsidRPr="004A0B4B" w:rsidRDefault="004A0B4B" w:rsidP="004F13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4F13A4">
              <w:rPr>
                <w:rFonts w:ascii="Calibri" w:eastAsia="Times New Roman" w:hAnsi="Calibri" w:cs="Times New Roman"/>
                <w:bCs w:val="0"/>
              </w:rPr>
              <w:t xml:space="preserve">incidence </w:t>
            </w:r>
            <w:r w:rsidRPr="004A0B4B">
              <w:rPr>
                <w:rFonts w:ascii="Calibri" w:eastAsia="Times New Roman" w:hAnsi="Calibri" w:cs="Times New Roman"/>
              </w:rPr>
              <w:t>rate</w:t>
            </w:r>
          </w:p>
        </w:tc>
      </w:tr>
      <w:tr w:rsidR="009814EE" w:rsidRPr="004A0B4B" w:rsidTr="00831FAA">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All Sites</w:t>
            </w:r>
          </w:p>
        </w:tc>
        <w:tc>
          <w:tcPr>
            <w:tcW w:w="126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442</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180.6</w:t>
            </w:r>
          </w:p>
        </w:tc>
        <w:tc>
          <w:tcPr>
            <w:tcW w:w="162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214.5</w:t>
            </w:r>
          </w:p>
        </w:tc>
        <w:tc>
          <w:tcPr>
            <w:tcW w:w="180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171.0</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456.7</w:t>
            </w:r>
          </w:p>
        </w:tc>
      </w:tr>
      <w:tr w:rsidR="009814EE" w:rsidRPr="004A0B4B" w:rsidTr="00831FAA">
        <w:trPr>
          <w:trHeight w:val="288"/>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Cervical Cancer, invasive</w:t>
            </w:r>
          </w:p>
        </w:tc>
        <w:tc>
          <w:tcPr>
            <w:tcW w:w="126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100</w:t>
            </w:r>
          </w:p>
        </w:tc>
        <w:tc>
          <w:tcPr>
            <w:tcW w:w="144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83.0</w:t>
            </w:r>
          </w:p>
        </w:tc>
        <w:tc>
          <w:tcPr>
            <w:tcW w:w="162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75.3</w:t>
            </w:r>
          </w:p>
        </w:tc>
        <w:tc>
          <w:tcPr>
            <w:tcW w:w="180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64.0</w:t>
            </w:r>
          </w:p>
        </w:tc>
        <w:tc>
          <w:tcPr>
            <w:tcW w:w="144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7.6</w:t>
            </w:r>
          </w:p>
        </w:tc>
      </w:tr>
      <w:tr w:rsidR="009814EE" w:rsidRPr="004A0B4B" w:rsidTr="00831FA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Lung &amp; Bronchus</w:t>
            </w:r>
          </w:p>
        </w:tc>
        <w:tc>
          <w:tcPr>
            <w:tcW w:w="126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47</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19.2</w:t>
            </w:r>
          </w:p>
        </w:tc>
        <w:tc>
          <w:tcPr>
            <w:tcW w:w="162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36.5</w:t>
            </w:r>
          </w:p>
        </w:tc>
        <w:tc>
          <w:tcPr>
            <w:tcW w:w="180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26.3</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62.5</w:t>
            </w:r>
          </w:p>
        </w:tc>
      </w:tr>
      <w:tr w:rsidR="009814EE" w:rsidRPr="004A0B4B" w:rsidTr="00831FAA">
        <w:trPr>
          <w:trHeight w:val="288"/>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Breast</w:t>
            </w:r>
          </w:p>
        </w:tc>
        <w:tc>
          <w:tcPr>
            <w:tcW w:w="126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38</w:t>
            </w:r>
          </w:p>
        </w:tc>
        <w:tc>
          <w:tcPr>
            <w:tcW w:w="144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31.5</w:t>
            </w:r>
          </w:p>
        </w:tc>
        <w:tc>
          <w:tcPr>
            <w:tcW w:w="1620" w:type="dxa"/>
            <w:noWrap/>
            <w:vAlign w:val="center"/>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28.6</w:t>
            </w:r>
          </w:p>
        </w:tc>
        <w:tc>
          <w:tcPr>
            <w:tcW w:w="1800" w:type="dxa"/>
            <w:noWrap/>
            <w:vAlign w:val="center"/>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25.6</w:t>
            </w:r>
          </w:p>
        </w:tc>
        <w:tc>
          <w:tcPr>
            <w:tcW w:w="144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123.4</w:t>
            </w:r>
          </w:p>
        </w:tc>
      </w:tr>
      <w:tr w:rsidR="009814EE" w:rsidRPr="004A0B4B" w:rsidTr="00831FA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Liver</w:t>
            </w:r>
          </w:p>
        </w:tc>
        <w:tc>
          <w:tcPr>
            <w:tcW w:w="126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26</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10.6</w:t>
            </w:r>
          </w:p>
        </w:tc>
        <w:tc>
          <w:tcPr>
            <w:tcW w:w="1620" w:type="dxa"/>
            <w:noWrap/>
            <w:vAlign w:val="center"/>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12.1</w:t>
            </w:r>
          </w:p>
        </w:tc>
        <w:tc>
          <w:tcPr>
            <w:tcW w:w="1800" w:type="dxa"/>
            <w:noWrap/>
            <w:vAlign w:val="center"/>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30.2</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7.6</w:t>
            </w:r>
          </w:p>
        </w:tc>
      </w:tr>
      <w:tr w:rsidR="009814EE" w:rsidRPr="004A0B4B" w:rsidTr="00831FAA">
        <w:trPr>
          <w:trHeight w:val="288"/>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Uterus</w:t>
            </w:r>
          </w:p>
        </w:tc>
        <w:tc>
          <w:tcPr>
            <w:tcW w:w="126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22</w:t>
            </w:r>
          </w:p>
        </w:tc>
        <w:tc>
          <w:tcPr>
            <w:tcW w:w="144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18.3</w:t>
            </w:r>
          </w:p>
        </w:tc>
        <w:tc>
          <w:tcPr>
            <w:tcW w:w="1620" w:type="dxa"/>
            <w:noWrap/>
            <w:vAlign w:val="center"/>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22.2</w:t>
            </w:r>
          </w:p>
        </w:tc>
        <w:tc>
          <w:tcPr>
            <w:tcW w:w="1800" w:type="dxa"/>
            <w:noWrap/>
            <w:vAlign w:val="center"/>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18.5</w:t>
            </w:r>
          </w:p>
        </w:tc>
        <w:tc>
          <w:tcPr>
            <w:tcW w:w="144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25.6</w:t>
            </w:r>
          </w:p>
        </w:tc>
      </w:tr>
      <w:tr w:rsidR="009814EE" w:rsidRPr="004A0B4B" w:rsidTr="00831FA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Nasopharynx</w:t>
            </w:r>
          </w:p>
        </w:tc>
        <w:tc>
          <w:tcPr>
            <w:tcW w:w="126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18</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7.4</w:t>
            </w:r>
          </w:p>
        </w:tc>
        <w:tc>
          <w:tcPr>
            <w:tcW w:w="1620" w:type="dxa"/>
            <w:noWrap/>
            <w:vAlign w:val="center"/>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7.7</w:t>
            </w:r>
          </w:p>
        </w:tc>
        <w:tc>
          <w:tcPr>
            <w:tcW w:w="1800" w:type="dxa"/>
            <w:noWrap/>
            <w:vAlign w:val="center"/>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6.3</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0.5</w:t>
            </w:r>
          </w:p>
        </w:tc>
      </w:tr>
      <w:tr w:rsidR="009814EE" w:rsidRPr="004A0B4B" w:rsidTr="00831FAA">
        <w:trPr>
          <w:trHeight w:val="360"/>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Colon &amp; Rectum</w:t>
            </w:r>
          </w:p>
        </w:tc>
        <w:tc>
          <w:tcPr>
            <w:tcW w:w="126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16</w:t>
            </w:r>
          </w:p>
        </w:tc>
        <w:tc>
          <w:tcPr>
            <w:tcW w:w="144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6.5</w:t>
            </w:r>
          </w:p>
        </w:tc>
        <w:tc>
          <w:tcPr>
            <w:tcW w:w="1620" w:type="dxa"/>
            <w:noWrap/>
            <w:vAlign w:val="center"/>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10.0</w:t>
            </w:r>
          </w:p>
        </w:tc>
        <w:tc>
          <w:tcPr>
            <w:tcW w:w="1800" w:type="dxa"/>
            <w:noWrap/>
            <w:vAlign w:val="center"/>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7.0</w:t>
            </w:r>
          </w:p>
        </w:tc>
        <w:tc>
          <w:tcPr>
            <w:tcW w:w="144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40.6</w:t>
            </w:r>
          </w:p>
        </w:tc>
      </w:tr>
      <w:tr w:rsidR="009814EE" w:rsidRPr="004A0B4B" w:rsidTr="00831FA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Ill-defined &amp; unspecified (</w:t>
            </w:r>
            <w:proofErr w:type="spellStart"/>
            <w:r w:rsidRPr="009814EE">
              <w:rPr>
                <w:rFonts w:ascii="Calibri" w:hAnsi="Calibri"/>
              </w:rPr>
              <w:t>unknown+misc</w:t>
            </w:r>
            <w:proofErr w:type="spellEnd"/>
            <w:r w:rsidRPr="009814EE">
              <w:rPr>
                <w:rFonts w:ascii="Calibri" w:hAnsi="Calibri"/>
              </w:rPr>
              <w:t>)</w:t>
            </w:r>
          </w:p>
        </w:tc>
        <w:tc>
          <w:tcPr>
            <w:tcW w:w="126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16</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6.5</w:t>
            </w:r>
          </w:p>
        </w:tc>
        <w:tc>
          <w:tcPr>
            <w:tcW w:w="1620" w:type="dxa"/>
            <w:noWrap/>
            <w:vAlign w:val="center"/>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9.4</w:t>
            </w:r>
          </w:p>
        </w:tc>
        <w:tc>
          <w:tcPr>
            <w:tcW w:w="1800" w:type="dxa"/>
            <w:noWrap/>
            <w:vAlign w:val="center"/>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7.1</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9814EE" w:rsidRPr="004A0B4B" w:rsidTr="00831FAA">
        <w:trPr>
          <w:trHeight w:val="288"/>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Leukemia</w:t>
            </w:r>
          </w:p>
        </w:tc>
        <w:tc>
          <w:tcPr>
            <w:tcW w:w="126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15</w:t>
            </w:r>
          </w:p>
        </w:tc>
        <w:tc>
          <w:tcPr>
            <w:tcW w:w="144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6.1</w:t>
            </w:r>
          </w:p>
        </w:tc>
        <w:tc>
          <w:tcPr>
            <w:tcW w:w="1620" w:type="dxa"/>
            <w:noWrap/>
            <w:vAlign w:val="center"/>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1800" w:type="dxa"/>
            <w:noWrap/>
            <w:vAlign w:val="center"/>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1440" w:type="dxa"/>
            <w:noWrap/>
            <w:vAlign w:val="center"/>
            <w:hideMark/>
          </w:tcPr>
          <w:p w:rsidR="009814EE" w:rsidRPr="009814EE" w:rsidRDefault="009814EE" w:rsidP="009814EE">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9814EE">
              <w:rPr>
                <w:rFonts w:ascii="Calibri" w:hAnsi="Calibri"/>
                <w:b/>
                <w:bCs/>
              </w:rPr>
              <w:t>13.5</w:t>
            </w:r>
          </w:p>
        </w:tc>
      </w:tr>
      <w:tr w:rsidR="009814EE" w:rsidRPr="004A0B4B" w:rsidTr="00831FA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45" w:type="dxa"/>
            <w:noWrap/>
            <w:vAlign w:val="center"/>
            <w:hideMark/>
          </w:tcPr>
          <w:p w:rsidR="009814EE" w:rsidRPr="009814EE" w:rsidRDefault="009814EE" w:rsidP="009814EE">
            <w:pPr>
              <w:rPr>
                <w:rFonts w:ascii="Calibri" w:hAnsi="Calibri"/>
              </w:rPr>
            </w:pPr>
            <w:r w:rsidRPr="009814EE">
              <w:rPr>
                <w:rFonts w:ascii="Calibri" w:hAnsi="Calibri"/>
              </w:rPr>
              <w:t>Non-Hodgkin Lymphoma</w:t>
            </w:r>
          </w:p>
        </w:tc>
        <w:tc>
          <w:tcPr>
            <w:tcW w:w="126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15</w:t>
            </w: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6.1</w:t>
            </w:r>
          </w:p>
        </w:tc>
        <w:tc>
          <w:tcPr>
            <w:tcW w:w="1620" w:type="dxa"/>
            <w:noWrap/>
            <w:vAlign w:val="center"/>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1800" w:type="dxa"/>
            <w:noWrap/>
            <w:vAlign w:val="center"/>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1440" w:type="dxa"/>
            <w:noWrap/>
            <w:vAlign w:val="center"/>
            <w:hideMark/>
          </w:tcPr>
          <w:p w:rsidR="009814EE" w:rsidRPr="009814EE" w:rsidRDefault="009814EE" w:rsidP="009814EE">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9814EE">
              <w:rPr>
                <w:rFonts w:ascii="Calibri" w:hAnsi="Calibri"/>
                <w:b/>
                <w:bCs/>
              </w:rPr>
              <w:t>19.1</w:t>
            </w:r>
          </w:p>
        </w:tc>
      </w:tr>
    </w:tbl>
    <w:p w:rsidR="00831FAA" w:rsidRDefault="00831FAA" w:rsidP="0059661E">
      <w:pPr>
        <w:spacing w:after="0"/>
        <w:rPr>
          <w:rFonts w:ascii="Calibri" w:eastAsia="Times New Roman" w:hAnsi="Calibri" w:cs="Times New Roman"/>
          <w:i/>
        </w:rPr>
      </w:pPr>
    </w:p>
    <w:p w:rsidR="0059661E" w:rsidRDefault="0059661E" w:rsidP="0059661E">
      <w:pPr>
        <w:spacing w:after="0"/>
        <w:rPr>
          <w:rFonts w:ascii="Calibri" w:eastAsia="Times New Roman" w:hAnsi="Calibri" w:cs="Times New Roman"/>
          <w:i/>
        </w:rPr>
      </w:pPr>
      <w:r>
        <w:rPr>
          <w:rFonts w:ascii="Calibri" w:eastAsia="Times New Roman" w:hAnsi="Calibri" w:cs="Times New Roman"/>
          <w:i/>
        </w:rPr>
        <w:t>Source: Incidence Data reported from Guam to Pacific Regional Central Cancer Registry, 2007-2015</w:t>
      </w:r>
    </w:p>
    <w:p w:rsidR="00831FAA" w:rsidRDefault="00831FAA" w:rsidP="002468A4">
      <w:pPr>
        <w:spacing w:after="0"/>
        <w:rPr>
          <w:rFonts w:ascii="Calibri" w:eastAsia="Times New Roman" w:hAnsi="Calibri" w:cs="Times New Roman"/>
        </w:rPr>
      </w:pPr>
    </w:p>
    <w:p w:rsidR="002B525C" w:rsidRDefault="009814EE" w:rsidP="002468A4">
      <w:pPr>
        <w:spacing w:after="0"/>
        <w:rPr>
          <w:rFonts w:ascii="Calibri" w:hAnsi="Calibri" w:cs="Times New Roman"/>
          <w:lang w:eastAsia="ko-KR"/>
        </w:rPr>
      </w:pPr>
      <w:r w:rsidRPr="009814EE">
        <w:rPr>
          <w:rFonts w:ascii="Calibri" w:eastAsia="Times New Roman" w:hAnsi="Calibri" w:cs="Times New Roman"/>
        </w:rPr>
        <w:t>2007-2015: 442 total cancer cases for age over 20 and 8 childhood leukemia, 2 child liver (1y, 4y), 2 child bone (14y, 15y), 2 child ovary (10y, 19 y), 2 child brain(6y, 16y), 3 child Non-Hodgkin Lymphoma, 1 soft tissue ,1 Other Respiratory, 2 testis(1y,3y)</w:t>
      </w:r>
    </w:p>
    <w:p w:rsidR="00831FAA" w:rsidRDefault="00831FAA" w:rsidP="002468A4">
      <w:pPr>
        <w:spacing w:after="0"/>
        <w:rPr>
          <w:rFonts w:ascii="Calibri" w:eastAsia="Times New Roman" w:hAnsi="Calibri" w:cs="Times New Roman"/>
        </w:rPr>
      </w:pPr>
    </w:p>
    <w:p w:rsidR="002468A4" w:rsidRDefault="009814EE" w:rsidP="002468A4">
      <w:pPr>
        <w:spacing w:after="0"/>
        <w:rPr>
          <w:rFonts w:ascii="Calibri" w:eastAsia="Times New Roman" w:hAnsi="Calibri" w:cs="Times New Roman"/>
        </w:rPr>
      </w:pPr>
      <w:r>
        <w:rPr>
          <w:rFonts w:ascii="Calibri" w:eastAsia="Times New Roman" w:hAnsi="Calibri" w:cs="Times New Roman"/>
        </w:rPr>
        <w:t>58</w:t>
      </w:r>
      <w:r w:rsidR="002468A4">
        <w:rPr>
          <w:rFonts w:ascii="Calibri" w:eastAsia="Times New Roman" w:hAnsi="Calibri" w:cs="Times New Roman"/>
        </w:rPr>
        <w:t>% of adult cancer patients have passed away within 5 years of diagnosis</w:t>
      </w:r>
    </w:p>
    <w:p w:rsidR="001576D2" w:rsidRDefault="001576D2" w:rsidP="002468A4">
      <w:pPr>
        <w:spacing w:after="0"/>
        <w:rPr>
          <w:rFonts w:ascii="Calibri" w:eastAsia="Times New Roman" w:hAnsi="Calibri" w:cs="Times New Roman"/>
          <w:b/>
        </w:rPr>
      </w:pPr>
    </w:p>
    <w:p w:rsidR="00831FAA" w:rsidRDefault="00831FAA" w:rsidP="002468A4">
      <w:pPr>
        <w:spacing w:after="0"/>
        <w:rPr>
          <w:rFonts w:ascii="Calibri" w:eastAsia="Times New Roman" w:hAnsi="Calibri" w:cs="Times New Roman"/>
          <w:b/>
        </w:rPr>
      </w:pPr>
    </w:p>
    <w:p w:rsidR="00831FAA" w:rsidRDefault="00831FAA" w:rsidP="002468A4">
      <w:pPr>
        <w:spacing w:after="0"/>
        <w:rPr>
          <w:rFonts w:ascii="Calibri" w:eastAsia="Times New Roman" w:hAnsi="Calibri" w:cs="Times New Roman"/>
          <w:b/>
        </w:rPr>
      </w:pPr>
    </w:p>
    <w:p w:rsidR="004F13A4" w:rsidRPr="00ED5F45" w:rsidRDefault="004F13A4" w:rsidP="002468A4">
      <w:pPr>
        <w:spacing w:after="0"/>
        <w:rPr>
          <w:rFonts w:ascii="Calibri" w:eastAsia="Times New Roman" w:hAnsi="Calibri" w:cs="Times New Roman"/>
          <w:b/>
        </w:rPr>
      </w:pPr>
      <w:r w:rsidRPr="00ED5F45">
        <w:rPr>
          <w:rFonts w:ascii="Calibri" w:eastAsia="Times New Roman" w:hAnsi="Calibri" w:cs="Times New Roman"/>
          <w:b/>
        </w:rPr>
        <w:t>Another way to look at the c</w:t>
      </w:r>
      <w:r w:rsidR="007A053A">
        <w:rPr>
          <w:rFonts w:ascii="Calibri" w:eastAsia="Times New Roman" w:hAnsi="Calibri" w:cs="Times New Roman"/>
          <w:b/>
        </w:rPr>
        <w:t>ancer data</w:t>
      </w:r>
      <w:r w:rsidR="00ED5F45">
        <w:rPr>
          <w:rFonts w:ascii="Calibri" w:eastAsia="Times New Roman" w:hAnsi="Calibri" w:cs="Times New Roman"/>
          <w:b/>
        </w:rPr>
        <w:t xml:space="preserve"> that can help to </w:t>
      </w:r>
      <w:r w:rsidRPr="00ED5F45">
        <w:rPr>
          <w:rFonts w:ascii="Calibri" w:eastAsia="Times New Roman" w:hAnsi="Calibri" w:cs="Times New Roman"/>
          <w:b/>
        </w:rPr>
        <w:t>priorit</w:t>
      </w:r>
      <w:r w:rsidR="00ED5F45">
        <w:rPr>
          <w:rFonts w:ascii="Calibri" w:eastAsia="Times New Roman" w:hAnsi="Calibri" w:cs="Times New Roman"/>
          <w:b/>
        </w:rPr>
        <w:t>ize</w:t>
      </w:r>
      <w:r w:rsidRPr="00ED5F45">
        <w:rPr>
          <w:rFonts w:ascii="Calibri" w:eastAsia="Times New Roman" w:hAnsi="Calibri" w:cs="Times New Roman"/>
          <w:b/>
        </w:rPr>
        <w:t xml:space="preserve"> public health</w:t>
      </w:r>
      <w:r w:rsidR="00ED5F45">
        <w:rPr>
          <w:rFonts w:ascii="Calibri" w:eastAsia="Times New Roman" w:hAnsi="Calibri" w:cs="Times New Roman"/>
          <w:b/>
        </w:rPr>
        <w:t xml:space="preserve"> and clinical</w:t>
      </w:r>
      <w:r w:rsidRPr="00ED5F45">
        <w:rPr>
          <w:rFonts w:ascii="Calibri" w:eastAsia="Times New Roman" w:hAnsi="Calibri" w:cs="Times New Roman"/>
          <w:b/>
        </w:rPr>
        <w:t xml:space="preserve"> efforts is</w:t>
      </w:r>
      <w:r w:rsidR="007A053A">
        <w:rPr>
          <w:rFonts w:ascii="Calibri" w:eastAsia="Times New Roman" w:hAnsi="Calibri" w:cs="Times New Roman"/>
          <w:b/>
        </w:rPr>
        <w:t>:</w:t>
      </w:r>
    </w:p>
    <w:p w:rsidR="004F13A4" w:rsidRPr="004F13A4" w:rsidRDefault="007B5CBB" w:rsidP="004F13A4">
      <w:pPr>
        <w:pStyle w:val="ListParagraph"/>
        <w:numPr>
          <w:ilvl w:val="0"/>
          <w:numId w:val="1"/>
        </w:numPr>
        <w:rPr>
          <w:rFonts w:ascii="Calibri" w:eastAsia="Times New Roman" w:hAnsi="Calibri" w:cs="Times New Roman"/>
        </w:rPr>
      </w:pPr>
      <w:r>
        <w:rPr>
          <w:rFonts w:ascii="Calibri" w:eastAsia="Times New Roman" w:hAnsi="Calibri" w:cs="Times New Roman"/>
        </w:rPr>
        <w:t>60</w:t>
      </w:r>
      <w:r w:rsidR="004F13A4" w:rsidRPr="004F13A4">
        <w:rPr>
          <w:rFonts w:ascii="Calibri" w:eastAsia="Times New Roman" w:hAnsi="Calibri" w:cs="Times New Roman"/>
        </w:rPr>
        <w:t xml:space="preserve">% </w:t>
      </w:r>
      <w:r w:rsidR="00575FA3">
        <w:rPr>
          <w:rFonts w:ascii="Calibri" w:eastAsia="Times New Roman" w:hAnsi="Calibri" w:cs="Times New Roman"/>
        </w:rPr>
        <w:t xml:space="preserve">of </w:t>
      </w:r>
      <w:r w:rsidR="001576D2">
        <w:rPr>
          <w:rFonts w:ascii="Calibri" w:eastAsia="Times New Roman" w:hAnsi="Calibri" w:cs="Times New Roman"/>
        </w:rPr>
        <w:t>RMI</w:t>
      </w:r>
      <w:r w:rsidR="00575FA3">
        <w:rPr>
          <w:rFonts w:ascii="Calibri" w:eastAsia="Times New Roman" w:hAnsi="Calibri" w:cs="Times New Roman"/>
        </w:rPr>
        <w:t>’</w:t>
      </w:r>
      <w:r w:rsidR="001576D2">
        <w:rPr>
          <w:rFonts w:ascii="Calibri" w:eastAsia="Times New Roman" w:hAnsi="Calibri" w:cs="Times New Roman"/>
        </w:rPr>
        <w:t xml:space="preserve">s </w:t>
      </w:r>
      <w:r w:rsidR="00575FA3">
        <w:rPr>
          <w:rFonts w:ascii="Calibri" w:eastAsia="Times New Roman" w:hAnsi="Calibri" w:cs="Times New Roman"/>
        </w:rPr>
        <w:t xml:space="preserve">adult </w:t>
      </w:r>
      <w:r w:rsidR="004F13A4" w:rsidRPr="004F13A4">
        <w:rPr>
          <w:rFonts w:ascii="Calibri" w:eastAsia="Times New Roman" w:hAnsi="Calibri" w:cs="Times New Roman"/>
        </w:rPr>
        <w:t xml:space="preserve">cancers are </w:t>
      </w:r>
      <w:r w:rsidR="004F13A4" w:rsidRPr="00BB3F36">
        <w:rPr>
          <w:rFonts w:ascii="Calibri" w:eastAsia="Times New Roman" w:hAnsi="Calibri" w:cs="Times New Roman"/>
          <w:color w:val="FF0000"/>
        </w:rPr>
        <w:t>tobacco-related</w:t>
      </w:r>
    </w:p>
    <w:p w:rsidR="004F13A4" w:rsidRPr="004F13A4" w:rsidRDefault="006A75A9" w:rsidP="004F13A4">
      <w:pPr>
        <w:pStyle w:val="ListParagraph"/>
        <w:numPr>
          <w:ilvl w:val="0"/>
          <w:numId w:val="1"/>
        </w:numPr>
        <w:rPr>
          <w:rFonts w:ascii="Calibri" w:eastAsia="Times New Roman" w:hAnsi="Calibri" w:cs="Times New Roman"/>
        </w:rPr>
      </w:pPr>
      <w:r>
        <w:rPr>
          <w:rFonts w:ascii="Calibri" w:eastAsia="Times New Roman" w:hAnsi="Calibri" w:cs="Times New Roman"/>
        </w:rPr>
        <w:t>1</w:t>
      </w:r>
      <w:r w:rsidR="007B5CBB">
        <w:rPr>
          <w:rFonts w:ascii="Calibri" w:eastAsia="Times New Roman" w:hAnsi="Calibri" w:cs="Times New Roman"/>
        </w:rPr>
        <w:t>7</w:t>
      </w:r>
      <w:r w:rsidR="004F13A4" w:rsidRPr="004F13A4">
        <w:rPr>
          <w:rFonts w:ascii="Calibri" w:eastAsia="Times New Roman" w:hAnsi="Calibri" w:cs="Times New Roman"/>
        </w:rPr>
        <w:t xml:space="preserve">% </w:t>
      </w:r>
      <w:r w:rsidR="00575FA3">
        <w:rPr>
          <w:rFonts w:ascii="Calibri" w:eastAsia="Times New Roman" w:hAnsi="Calibri" w:cs="Times New Roman"/>
        </w:rPr>
        <w:t xml:space="preserve">of </w:t>
      </w:r>
      <w:r w:rsidR="001576D2">
        <w:rPr>
          <w:rFonts w:ascii="Calibri" w:eastAsia="Times New Roman" w:hAnsi="Calibri" w:cs="Times New Roman"/>
        </w:rPr>
        <w:t xml:space="preserve">RMI’s </w:t>
      </w:r>
      <w:r w:rsidR="00575FA3">
        <w:rPr>
          <w:rFonts w:ascii="Calibri" w:eastAsia="Times New Roman" w:hAnsi="Calibri" w:cs="Times New Roman"/>
        </w:rPr>
        <w:t xml:space="preserve">adult </w:t>
      </w:r>
      <w:r w:rsidR="004F13A4" w:rsidRPr="004F13A4">
        <w:rPr>
          <w:rFonts w:ascii="Calibri" w:eastAsia="Times New Roman" w:hAnsi="Calibri" w:cs="Times New Roman"/>
        </w:rPr>
        <w:t xml:space="preserve">cancers are </w:t>
      </w:r>
      <w:r w:rsidR="004F13A4" w:rsidRPr="00BB3F36">
        <w:rPr>
          <w:rFonts w:ascii="Calibri" w:eastAsia="Times New Roman" w:hAnsi="Calibri" w:cs="Times New Roman"/>
          <w:color w:val="4472C4" w:themeColor="accent5"/>
        </w:rPr>
        <w:t>obesity-related</w:t>
      </w:r>
    </w:p>
    <w:p w:rsidR="004F13A4" w:rsidRPr="004F13A4" w:rsidRDefault="006A75A9" w:rsidP="004F13A4">
      <w:pPr>
        <w:pStyle w:val="ListParagraph"/>
        <w:numPr>
          <w:ilvl w:val="0"/>
          <w:numId w:val="1"/>
        </w:numPr>
        <w:rPr>
          <w:rFonts w:ascii="Calibri" w:eastAsia="Times New Roman" w:hAnsi="Calibri" w:cs="Times New Roman"/>
        </w:rPr>
      </w:pPr>
      <w:r>
        <w:rPr>
          <w:rFonts w:ascii="Calibri" w:eastAsia="Times New Roman" w:hAnsi="Calibri" w:cs="Times New Roman"/>
        </w:rPr>
        <w:t>3</w:t>
      </w:r>
      <w:r w:rsidR="007B5CBB">
        <w:rPr>
          <w:rFonts w:ascii="Calibri" w:hAnsi="Calibri" w:cs="Times New Roman"/>
          <w:lang w:eastAsia="ko-KR"/>
        </w:rPr>
        <w:t>8</w:t>
      </w:r>
      <w:r w:rsidR="004F13A4" w:rsidRPr="004F13A4">
        <w:rPr>
          <w:rFonts w:ascii="Calibri" w:eastAsia="Times New Roman" w:hAnsi="Calibri" w:cs="Times New Roman"/>
        </w:rPr>
        <w:t xml:space="preserve">% of these cancers have an </w:t>
      </w:r>
      <w:r w:rsidR="004F13A4" w:rsidRPr="00BB3F36">
        <w:rPr>
          <w:rFonts w:ascii="Calibri" w:eastAsia="Times New Roman" w:hAnsi="Calibri" w:cs="Times New Roman"/>
          <w:color w:val="70AD47" w:themeColor="accent6"/>
        </w:rPr>
        <w:t xml:space="preserve">evidence-based screening test </w:t>
      </w:r>
      <w:r w:rsidR="004F13A4" w:rsidRPr="004F13A4">
        <w:rPr>
          <w:rFonts w:ascii="Calibri" w:eastAsia="Times New Roman" w:hAnsi="Calibri" w:cs="Times New Roman"/>
        </w:rPr>
        <w:t>such as mammography</w:t>
      </w:r>
      <w:r w:rsidR="00BB3F36">
        <w:rPr>
          <w:rFonts w:ascii="Calibri" w:eastAsia="Times New Roman" w:hAnsi="Calibri" w:cs="Times New Roman"/>
        </w:rPr>
        <w:t xml:space="preserve"> (Breast cancer)</w:t>
      </w:r>
      <w:r w:rsidR="004F13A4" w:rsidRPr="004F13A4">
        <w:rPr>
          <w:rFonts w:ascii="Calibri" w:eastAsia="Times New Roman" w:hAnsi="Calibri" w:cs="Times New Roman"/>
        </w:rPr>
        <w:t>, Pap smear</w:t>
      </w:r>
      <w:r w:rsidR="00BB3F36">
        <w:rPr>
          <w:rFonts w:ascii="Calibri" w:eastAsia="Times New Roman" w:hAnsi="Calibri" w:cs="Times New Roman"/>
        </w:rPr>
        <w:t xml:space="preserve"> (Cervical cancer)</w:t>
      </w:r>
      <w:r w:rsidR="004F13A4" w:rsidRPr="004F13A4">
        <w:rPr>
          <w:rFonts w:ascii="Calibri" w:eastAsia="Times New Roman" w:hAnsi="Calibri" w:cs="Times New Roman"/>
        </w:rPr>
        <w:t>, fecal occult b</w:t>
      </w:r>
      <w:r w:rsidR="00BB3F36">
        <w:rPr>
          <w:rFonts w:ascii="Calibri" w:eastAsia="Times New Roman" w:hAnsi="Calibri" w:cs="Times New Roman"/>
        </w:rPr>
        <w:t>lood testing or colonoscopy (</w:t>
      </w:r>
      <w:r w:rsidR="004F13A4" w:rsidRPr="004F13A4">
        <w:rPr>
          <w:rFonts w:ascii="Calibri" w:eastAsia="Times New Roman" w:hAnsi="Calibri" w:cs="Times New Roman"/>
        </w:rPr>
        <w:t>colon cancer</w:t>
      </w:r>
      <w:r w:rsidR="00BB3F36">
        <w:rPr>
          <w:rFonts w:ascii="Calibri" w:eastAsia="Times New Roman" w:hAnsi="Calibri" w:cs="Times New Roman"/>
        </w:rPr>
        <w:t>)</w:t>
      </w:r>
      <w:r w:rsidR="00575FA3">
        <w:rPr>
          <w:rFonts w:ascii="Calibri" w:eastAsia="Times New Roman" w:hAnsi="Calibri" w:cs="Times New Roman"/>
        </w:rPr>
        <w:t>, PSA &amp; rectal exam (prostate cancer)</w:t>
      </w:r>
    </w:p>
    <w:p w:rsidR="004F13A4" w:rsidRPr="00831FAA" w:rsidRDefault="00AB752E" w:rsidP="004F13A4">
      <w:pPr>
        <w:pStyle w:val="ListParagraph"/>
        <w:numPr>
          <w:ilvl w:val="0"/>
          <w:numId w:val="1"/>
        </w:numPr>
      </w:pPr>
      <w:r>
        <w:rPr>
          <w:rFonts w:ascii="Calibri" w:eastAsia="Times New Roman" w:hAnsi="Calibri" w:cs="Times New Roman"/>
        </w:rPr>
        <w:t>8</w:t>
      </w:r>
      <w:r w:rsidR="004F13A4" w:rsidRPr="004F13A4">
        <w:rPr>
          <w:rFonts w:ascii="Calibri" w:eastAsia="Times New Roman" w:hAnsi="Calibri" w:cs="Times New Roman"/>
        </w:rPr>
        <w:t>% of cancers could be diagnosed</w:t>
      </w:r>
      <w:r w:rsidR="00575FA3">
        <w:rPr>
          <w:rFonts w:ascii="Calibri" w:eastAsia="Times New Roman" w:hAnsi="Calibri" w:cs="Times New Roman"/>
        </w:rPr>
        <w:t xml:space="preserve"> in</w:t>
      </w:r>
      <w:r w:rsidR="004F13A4" w:rsidRPr="004F13A4">
        <w:rPr>
          <w:rFonts w:ascii="Calibri" w:eastAsia="Times New Roman" w:hAnsi="Calibri" w:cs="Times New Roman"/>
        </w:rPr>
        <w:t xml:space="preserve"> earlier</w:t>
      </w:r>
      <w:r w:rsidR="00575FA3">
        <w:rPr>
          <w:rFonts w:ascii="Calibri" w:eastAsia="Times New Roman" w:hAnsi="Calibri" w:cs="Times New Roman"/>
        </w:rPr>
        <w:t xml:space="preserve"> stages</w:t>
      </w:r>
      <w:r w:rsidR="004F13A4" w:rsidRPr="004F13A4">
        <w:rPr>
          <w:rFonts w:ascii="Calibri" w:eastAsia="Times New Roman" w:hAnsi="Calibri" w:cs="Times New Roman"/>
        </w:rPr>
        <w:t xml:space="preserve"> if the patient presents to the doctor early enough and if the doctor does a </w:t>
      </w:r>
      <w:r w:rsidR="004F13A4" w:rsidRPr="00BB3F36">
        <w:rPr>
          <w:rFonts w:ascii="Calibri" w:eastAsia="Times New Roman" w:hAnsi="Calibri" w:cs="Times New Roman"/>
          <w:color w:val="ED7D31" w:themeColor="accent2"/>
        </w:rPr>
        <w:t>thorough history and physical</w:t>
      </w:r>
    </w:p>
    <w:p w:rsidR="00831FAA" w:rsidRDefault="00831FAA" w:rsidP="00831FAA"/>
    <w:p w:rsidR="00831FAA" w:rsidRDefault="00831FAA" w:rsidP="00831FAA"/>
    <w:p w:rsidR="00831FAA" w:rsidRDefault="00831FAA" w:rsidP="00BB3F36"/>
    <w:tbl>
      <w:tblPr>
        <w:tblW w:w="1387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780"/>
        <w:gridCol w:w="900"/>
        <w:gridCol w:w="990"/>
        <w:gridCol w:w="916"/>
        <w:gridCol w:w="1107"/>
        <w:gridCol w:w="1067"/>
        <w:gridCol w:w="1530"/>
        <w:gridCol w:w="1158"/>
        <w:gridCol w:w="1158"/>
        <w:gridCol w:w="1272"/>
      </w:tblGrid>
      <w:tr w:rsidR="00C70FCE" w:rsidRPr="00DA5EFA" w:rsidTr="009A5605">
        <w:trPr>
          <w:trHeight w:val="288"/>
        </w:trPr>
        <w:tc>
          <w:tcPr>
            <w:tcW w:w="3780" w:type="dxa"/>
            <w:shd w:val="clear" w:color="auto" w:fill="auto"/>
            <w:noWrap/>
            <w:vAlign w:val="center"/>
          </w:tcPr>
          <w:p w:rsidR="00C70FCE" w:rsidRPr="00720CB3" w:rsidRDefault="00C70FCE" w:rsidP="00C70FCE">
            <w:pPr>
              <w:spacing w:after="0" w:line="240" w:lineRule="auto"/>
              <w:jc w:val="center"/>
              <w:rPr>
                <w:rFonts w:ascii="Calibri" w:eastAsia="Times New Roman" w:hAnsi="Calibri" w:cs="Times New Roman"/>
                <w:b/>
              </w:rPr>
            </w:pPr>
          </w:p>
        </w:tc>
        <w:tc>
          <w:tcPr>
            <w:tcW w:w="900" w:type="dxa"/>
            <w:tcBorders>
              <w:left w:val="single" w:sz="4" w:space="0" w:color="auto"/>
              <w:right w:val="single" w:sz="4" w:space="0" w:color="auto"/>
            </w:tcBorders>
            <w:shd w:val="clear" w:color="auto" w:fill="auto"/>
            <w:noWrap/>
            <w:vAlign w:val="center"/>
          </w:tcPr>
          <w:p w:rsidR="00C70FCE" w:rsidRPr="00DA5EFA" w:rsidRDefault="00C70FCE" w:rsidP="00C70FCE">
            <w:pPr>
              <w:spacing w:after="0" w:line="240" w:lineRule="auto"/>
              <w:jc w:val="center"/>
              <w:rPr>
                <w:rFonts w:ascii="Calibri" w:eastAsia="Times New Roman" w:hAnsi="Calibri" w:cs="Times New Roman"/>
                <w:b/>
              </w:rPr>
            </w:pPr>
            <w:r>
              <w:rPr>
                <w:rFonts w:ascii="Calibri" w:eastAsia="Times New Roman" w:hAnsi="Calibri" w:cs="Times New Roman"/>
                <w:b/>
              </w:rPr>
              <w:t>C</w:t>
            </w:r>
            <w:r w:rsidRPr="00DA5EFA">
              <w:rPr>
                <w:rFonts w:ascii="Calibri" w:eastAsia="Times New Roman" w:hAnsi="Calibri" w:cs="Times New Roman"/>
                <w:b/>
              </w:rPr>
              <w:t>ounts</w:t>
            </w:r>
          </w:p>
        </w:tc>
        <w:tc>
          <w:tcPr>
            <w:tcW w:w="990" w:type="dxa"/>
            <w:tcBorders>
              <w:left w:val="single" w:sz="4" w:space="0" w:color="auto"/>
              <w:right w:val="single" w:sz="4" w:space="0" w:color="auto"/>
            </w:tcBorders>
            <w:shd w:val="clear" w:color="auto" w:fill="auto"/>
            <w:noWrap/>
            <w:vAlign w:val="center"/>
          </w:tcPr>
          <w:p w:rsidR="00C70FCE" w:rsidRPr="00DA5EFA" w:rsidRDefault="00C70FCE" w:rsidP="00C70FCE">
            <w:pPr>
              <w:spacing w:after="0" w:line="240" w:lineRule="auto"/>
              <w:jc w:val="center"/>
              <w:rPr>
                <w:rFonts w:ascii="Calibri" w:eastAsia="Times New Roman" w:hAnsi="Calibri" w:cs="Times New Roman"/>
                <w:b/>
                <w:bCs/>
              </w:rPr>
            </w:pPr>
            <w:r w:rsidRPr="00DA5EFA">
              <w:rPr>
                <w:rFonts w:ascii="Calibri" w:eastAsia="Times New Roman" w:hAnsi="Calibri" w:cs="Times New Roman"/>
                <w:b/>
                <w:bCs/>
              </w:rPr>
              <w:t>Tobacco</w:t>
            </w:r>
            <w:r>
              <w:rPr>
                <w:rFonts w:ascii="Calibri" w:eastAsia="Times New Roman" w:hAnsi="Calibri" w:cs="Times New Roman"/>
                <w:b/>
                <w:bCs/>
              </w:rPr>
              <w:t xml:space="preserve"> related</w:t>
            </w:r>
          </w:p>
        </w:tc>
        <w:tc>
          <w:tcPr>
            <w:tcW w:w="916" w:type="dxa"/>
            <w:tcBorders>
              <w:left w:val="single" w:sz="4" w:space="0" w:color="auto"/>
              <w:right w:val="single" w:sz="4" w:space="0" w:color="auto"/>
            </w:tcBorders>
            <w:shd w:val="clear" w:color="auto" w:fill="auto"/>
            <w:noWrap/>
            <w:vAlign w:val="center"/>
          </w:tcPr>
          <w:p w:rsidR="00C70FCE" w:rsidRPr="00DA5EFA" w:rsidRDefault="00C70FCE" w:rsidP="00C70FCE">
            <w:pPr>
              <w:spacing w:after="0" w:line="240" w:lineRule="auto"/>
              <w:jc w:val="center"/>
              <w:rPr>
                <w:rFonts w:ascii="Calibri" w:eastAsia="Times New Roman" w:hAnsi="Calibri" w:cs="Times New Roman"/>
                <w:b/>
                <w:bCs/>
              </w:rPr>
            </w:pPr>
            <w:r w:rsidRPr="00DA5EFA">
              <w:rPr>
                <w:rFonts w:ascii="Calibri" w:eastAsia="Times New Roman" w:hAnsi="Calibri" w:cs="Times New Roman"/>
                <w:b/>
                <w:bCs/>
              </w:rPr>
              <w:t>Obesity</w:t>
            </w:r>
            <w:r>
              <w:rPr>
                <w:rFonts w:ascii="Calibri" w:eastAsia="Times New Roman" w:hAnsi="Calibri" w:cs="Times New Roman"/>
                <w:b/>
                <w:bCs/>
              </w:rPr>
              <w:t xml:space="preserve"> related</w:t>
            </w:r>
          </w:p>
        </w:tc>
        <w:tc>
          <w:tcPr>
            <w:tcW w:w="1107" w:type="dxa"/>
            <w:tcBorders>
              <w:left w:val="single" w:sz="4" w:space="0" w:color="auto"/>
              <w:right w:val="single" w:sz="4" w:space="0" w:color="auto"/>
            </w:tcBorders>
            <w:shd w:val="clear" w:color="auto" w:fill="auto"/>
            <w:noWrap/>
            <w:vAlign w:val="center"/>
          </w:tcPr>
          <w:p w:rsidR="00C70FCE" w:rsidRPr="00DA5EFA" w:rsidRDefault="00C70FCE" w:rsidP="00C70FCE">
            <w:pPr>
              <w:spacing w:after="0" w:line="240" w:lineRule="auto"/>
              <w:jc w:val="center"/>
              <w:rPr>
                <w:rFonts w:ascii="Calibri" w:eastAsia="Times New Roman" w:hAnsi="Calibri" w:cs="Times New Roman"/>
                <w:b/>
                <w:bCs/>
              </w:rPr>
            </w:pPr>
            <w:r w:rsidRPr="00DA5EFA">
              <w:rPr>
                <w:rFonts w:ascii="Calibri" w:eastAsia="Times New Roman" w:hAnsi="Calibri" w:cs="Times New Roman"/>
                <w:b/>
                <w:bCs/>
              </w:rPr>
              <w:t>Screening</w:t>
            </w:r>
            <w:r>
              <w:rPr>
                <w:rFonts w:ascii="Calibri" w:eastAsia="Times New Roman" w:hAnsi="Calibri" w:cs="Times New Roman"/>
                <w:b/>
                <w:bCs/>
              </w:rPr>
              <w:t xml:space="preserve"> test available</w:t>
            </w:r>
          </w:p>
        </w:tc>
        <w:tc>
          <w:tcPr>
            <w:tcW w:w="1067" w:type="dxa"/>
            <w:tcBorders>
              <w:left w:val="single" w:sz="4" w:space="0" w:color="auto"/>
              <w:right w:val="single" w:sz="4" w:space="0" w:color="auto"/>
            </w:tcBorders>
            <w:shd w:val="clear" w:color="000000" w:fill="FFFFFF"/>
            <w:noWrap/>
            <w:vAlign w:val="center"/>
          </w:tcPr>
          <w:p w:rsidR="00C70FCE" w:rsidRPr="00DA5EFA" w:rsidRDefault="00C70FCE" w:rsidP="00C70FC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Early Physical diagnosis</w:t>
            </w:r>
          </w:p>
        </w:tc>
        <w:tc>
          <w:tcPr>
            <w:tcW w:w="1530" w:type="dxa"/>
            <w:tcBorders>
              <w:left w:val="single" w:sz="4" w:space="0" w:color="auto"/>
            </w:tcBorders>
            <w:shd w:val="clear" w:color="000000" w:fill="FFFFFF"/>
            <w:noWrap/>
            <w:vAlign w:val="center"/>
          </w:tcPr>
          <w:p w:rsidR="009A5605" w:rsidRDefault="00C70FCE" w:rsidP="00C70FCE">
            <w:pPr>
              <w:spacing w:after="0" w:line="240" w:lineRule="auto"/>
              <w:jc w:val="center"/>
              <w:rPr>
                <w:rFonts w:ascii="Calibri" w:eastAsia="Times New Roman" w:hAnsi="Calibri" w:cs="Times New Roman"/>
                <w:b/>
                <w:bCs/>
                <w:color w:val="000000"/>
              </w:rPr>
            </w:pPr>
            <w:r w:rsidRPr="00DA5EFA">
              <w:rPr>
                <w:rFonts w:ascii="Calibri" w:eastAsia="Times New Roman" w:hAnsi="Calibri" w:cs="Times New Roman"/>
                <w:b/>
                <w:bCs/>
                <w:color w:val="000000"/>
              </w:rPr>
              <w:t xml:space="preserve">% dead </w:t>
            </w:r>
          </w:p>
          <w:p w:rsidR="009A5605" w:rsidRDefault="00C70FCE" w:rsidP="00C70FCE">
            <w:pPr>
              <w:spacing w:after="0" w:line="240" w:lineRule="auto"/>
              <w:jc w:val="center"/>
              <w:rPr>
                <w:rFonts w:ascii="Calibri" w:eastAsia="Times New Roman" w:hAnsi="Calibri" w:cs="Times New Roman"/>
                <w:b/>
                <w:bCs/>
                <w:color w:val="000000"/>
              </w:rPr>
            </w:pPr>
            <w:r w:rsidRPr="00DA5EFA">
              <w:rPr>
                <w:rFonts w:ascii="Calibri" w:eastAsia="Times New Roman" w:hAnsi="Calibri" w:cs="Times New Roman"/>
                <w:b/>
                <w:bCs/>
                <w:color w:val="000000"/>
              </w:rPr>
              <w:t xml:space="preserve">within 5 </w:t>
            </w:r>
            <w:proofErr w:type="spellStart"/>
            <w:r w:rsidRPr="00DA5EFA">
              <w:rPr>
                <w:rFonts w:ascii="Calibri" w:eastAsia="Times New Roman" w:hAnsi="Calibri" w:cs="Times New Roman"/>
                <w:b/>
                <w:bCs/>
                <w:color w:val="000000"/>
              </w:rPr>
              <w:t>yrs</w:t>
            </w:r>
            <w:proofErr w:type="spellEnd"/>
            <w:r w:rsidRPr="00DA5EFA">
              <w:rPr>
                <w:rFonts w:ascii="Calibri" w:eastAsia="Times New Roman" w:hAnsi="Calibri" w:cs="Times New Roman"/>
                <w:b/>
                <w:bCs/>
                <w:color w:val="000000"/>
              </w:rPr>
              <w:t xml:space="preserve"> </w:t>
            </w:r>
          </w:p>
          <w:p w:rsidR="00C70FCE" w:rsidRPr="00DA5EFA" w:rsidRDefault="00C70FCE" w:rsidP="00C70FCE">
            <w:pPr>
              <w:spacing w:after="0" w:line="240" w:lineRule="auto"/>
              <w:jc w:val="center"/>
              <w:rPr>
                <w:rFonts w:ascii="Calibri" w:eastAsia="Times New Roman" w:hAnsi="Calibri" w:cs="Times New Roman"/>
                <w:b/>
                <w:bCs/>
                <w:color w:val="000000"/>
              </w:rPr>
            </w:pPr>
            <w:r w:rsidRPr="00DA5EFA">
              <w:rPr>
                <w:rFonts w:ascii="Calibri" w:eastAsia="Times New Roman" w:hAnsi="Calibri" w:cs="Times New Roman"/>
                <w:b/>
                <w:bCs/>
                <w:color w:val="000000"/>
              </w:rPr>
              <w:t>of diagnosis</w:t>
            </w:r>
          </w:p>
        </w:tc>
        <w:tc>
          <w:tcPr>
            <w:tcW w:w="1158" w:type="dxa"/>
            <w:tcBorders>
              <w:left w:val="single" w:sz="4" w:space="0" w:color="auto"/>
            </w:tcBorders>
            <w:shd w:val="clear" w:color="000000" w:fill="FFFFFF"/>
            <w:vAlign w:val="center"/>
          </w:tcPr>
          <w:p w:rsidR="00C70FCE" w:rsidRPr="004644C7" w:rsidRDefault="00C70FCE" w:rsidP="00C70FCE">
            <w:pPr>
              <w:jc w:val="center"/>
              <w:rPr>
                <w:rFonts w:ascii="Calibri" w:hAnsi="Calibri"/>
                <w:b/>
              </w:rPr>
            </w:pPr>
            <w:r w:rsidRPr="004644C7">
              <w:rPr>
                <w:rFonts w:ascii="Calibri" w:hAnsi="Calibri"/>
                <w:b/>
              </w:rPr>
              <w:t>% diagnosed stage 1</w:t>
            </w:r>
          </w:p>
        </w:tc>
        <w:tc>
          <w:tcPr>
            <w:tcW w:w="1158" w:type="dxa"/>
            <w:tcBorders>
              <w:left w:val="single" w:sz="4" w:space="0" w:color="auto"/>
            </w:tcBorders>
            <w:shd w:val="clear" w:color="000000" w:fill="FFFFFF"/>
            <w:vAlign w:val="center"/>
          </w:tcPr>
          <w:p w:rsidR="00C70FCE" w:rsidRPr="004644C7" w:rsidRDefault="00C70FCE" w:rsidP="00C70FCE">
            <w:pPr>
              <w:jc w:val="center"/>
              <w:rPr>
                <w:rFonts w:ascii="Calibri" w:hAnsi="Calibri"/>
                <w:b/>
              </w:rPr>
            </w:pPr>
            <w:r w:rsidRPr="004644C7">
              <w:rPr>
                <w:rFonts w:ascii="Calibri" w:hAnsi="Calibri"/>
                <w:b/>
              </w:rPr>
              <w:t>% diagnosed stage 2</w:t>
            </w:r>
          </w:p>
        </w:tc>
        <w:tc>
          <w:tcPr>
            <w:tcW w:w="1272" w:type="dxa"/>
            <w:tcBorders>
              <w:left w:val="single" w:sz="4" w:space="0" w:color="auto"/>
            </w:tcBorders>
            <w:shd w:val="clear" w:color="000000" w:fill="FFFFFF"/>
            <w:vAlign w:val="center"/>
          </w:tcPr>
          <w:p w:rsidR="00C70FCE" w:rsidRPr="004644C7" w:rsidRDefault="00C70FCE" w:rsidP="00C70FCE">
            <w:pPr>
              <w:jc w:val="center"/>
              <w:rPr>
                <w:rFonts w:ascii="Calibri" w:hAnsi="Calibri"/>
                <w:b/>
              </w:rPr>
            </w:pPr>
            <w:r w:rsidRPr="004644C7">
              <w:rPr>
                <w:rFonts w:ascii="Calibri" w:hAnsi="Calibri"/>
                <w:b/>
              </w:rPr>
              <w:t>% diagnosed stage 3 or higher</w:t>
            </w:r>
          </w:p>
        </w:tc>
      </w:tr>
      <w:tr w:rsidR="00814763" w:rsidRPr="00DA5EFA" w:rsidTr="009A5605">
        <w:trPr>
          <w:trHeight w:val="288"/>
        </w:trPr>
        <w:tc>
          <w:tcPr>
            <w:tcW w:w="3780" w:type="dxa"/>
            <w:shd w:val="clear" w:color="auto" w:fill="auto"/>
            <w:noWrap/>
            <w:vAlign w:val="bottom"/>
          </w:tcPr>
          <w:p w:rsidR="00814763" w:rsidRPr="00DA5EFA" w:rsidRDefault="00814763" w:rsidP="00D55125">
            <w:pPr>
              <w:spacing w:after="0" w:line="240" w:lineRule="auto"/>
              <w:rPr>
                <w:rFonts w:ascii="Calibri" w:eastAsia="Times New Roman" w:hAnsi="Calibri" w:cs="Times New Roman"/>
              </w:rPr>
            </w:pPr>
            <w:r w:rsidRPr="00720CB3">
              <w:rPr>
                <w:rFonts w:ascii="Calibri" w:eastAsia="Times New Roman" w:hAnsi="Calibri" w:cs="Times New Roman"/>
                <w:b/>
              </w:rPr>
              <w:t>Adult cancers</w:t>
            </w:r>
            <w:r w:rsidRPr="00DA5EFA">
              <w:rPr>
                <w:rFonts w:ascii="Calibri" w:eastAsia="Times New Roman" w:hAnsi="Calibri" w:cs="Times New Roman"/>
              </w:rPr>
              <w:t xml:space="preserve"> (20</w:t>
            </w:r>
            <w:r>
              <w:rPr>
                <w:rFonts w:ascii="Calibri" w:eastAsia="Times New Roman" w:hAnsi="Calibri" w:cs="Times New Roman"/>
              </w:rPr>
              <w:t xml:space="preserve"> years and older</w:t>
            </w:r>
            <w:r w:rsidRPr="00DA5EFA">
              <w:rPr>
                <w:rFonts w:ascii="Calibri" w:eastAsia="Times New Roman" w:hAnsi="Calibri" w:cs="Times New Roman"/>
              </w:rPr>
              <w:t>)</w:t>
            </w:r>
          </w:p>
        </w:tc>
        <w:tc>
          <w:tcPr>
            <w:tcW w:w="900" w:type="dxa"/>
            <w:tcBorders>
              <w:left w:val="single" w:sz="4" w:space="0" w:color="auto"/>
              <w:right w:val="single" w:sz="4" w:space="0" w:color="auto"/>
            </w:tcBorders>
            <w:shd w:val="clear" w:color="auto" w:fill="auto"/>
            <w:noWrap/>
            <w:vAlign w:val="bottom"/>
          </w:tcPr>
          <w:p w:rsidR="00814763" w:rsidRPr="002B525C" w:rsidRDefault="00814763" w:rsidP="00D55125">
            <w:pPr>
              <w:spacing w:after="0" w:line="240" w:lineRule="auto"/>
              <w:jc w:val="center"/>
              <w:rPr>
                <w:rFonts w:ascii="Calibri" w:hAnsi="Calibri" w:cs="Times New Roman"/>
                <w:b/>
                <w:lang w:eastAsia="ko-KR"/>
              </w:rPr>
            </w:pPr>
            <w:r>
              <w:rPr>
                <w:rFonts w:ascii="Calibri" w:eastAsia="Times New Roman" w:hAnsi="Calibri" w:cs="Times New Roman"/>
                <w:b/>
              </w:rPr>
              <w:t>442</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r>
              <w:rPr>
                <w:rFonts w:ascii="Calibri" w:eastAsia="Times New Roman" w:hAnsi="Calibri" w:cs="Times New Roman"/>
                <w:b/>
              </w:rPr>
              <w:t>60</w:t>
            </w:r>
            <w:r w:rsidRPr="003042AA">
              <w:rPr>
                <w:rFonts w:ascii="Calibri" w:eastAsia="Times New Roman" w:hAnsi="Calibri" w:cs="Times New Roman"/>
                <w:b/>
              </w:rPr>
              <w:t>%</w:t>
            </w: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r>
              <w:rPr>
                <w:rFonts w:ascii="Calibri" w:eastAsia="Times New Roman" w:hAnsi="Calibri" w:cs="Times New Roman"/>
                <w:b/>
              </w:rPr>
              <w:t>17</w:t>
            </w:r>
            <w:r w:rsidRPr="003042AA">
              <w:rPr>
                <w:rFonts w:ascii="Calibri" w:eastAsia="Times New Roman" w:hAnsi="Calibri" w:cs="Times New Roman"/>
                <w:b/>
              </w:rPr>
              <w:t>%</w:t>
            </w: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r>
              <w:rPr>
                <w:rFonts w:ascii="Calibri" w:eastAsia="Times New Roman" w:hAnsi="Calibri" w:cs="Times New Roman"/>
                <w:b/>
              </w:rPr>
              <w:t>38</w:t>
            </w:r>
            <w:r w:rsidRPr="003042AA">
              <w:rPr>
                <w:rFonts w:ascii="Calibri" w:eastAsia="Times New Roman" w:hAnsi="Calibri" w:cs="Times New Roman"/>
                <w:b/>
              </w:rPr>
              <w:t>%</w:t>
            </w: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rPr>
            </w:pPr>
            <w:r>
              <w:rPr>
                <w:rFonts w:ascii="Calibri" w:eastAsia="Times New Roman" w:hAnsi="Calibri" w:cs="Times New Roman"/>
                <w:b/>
              </w:rPr>
              <w:t>8</w:t>
            </w:r>
            <w:r w:rsidRPr="003042AA">
              <w:rPr>
                <w:rFonts w:ascii="Calibri" w:eastAsia="Times New Roman" w:hAnsi="Calibri" w:cs="Times New Roman"/>
                <w:b/>
              </w:rPr>
              <w:t>%</w:t>
            </w: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Pr>
                <w:rFonts w:ascii="Calibri" w:hAnsi="Calibri" w:cs="Times New Roman" w:hint="eastAsia"/>
                <w:b/>
                <w:color w:val="000000"/>
                <w:lang w:eastAsia="ko-KR"/>
              </w:rPr>
              <w:t>5</w:t>
            </w:r>
            <w:r>
              <w:rPr>
                <w:rFonts w:ascii="Calibri" w:hAnsi="Calibri" w:cs="Times New Roman"/>
                <w:b/>
                <w:color w:val="000000"/>
                <w:lang w:eastAsia="ko-KR"/>
              </w:rPr>
              <w:t>7</w:t>
            </w:r>
            <w:r w:rsidRPr="003042AA">
              <w:rPr>
                <w:rFonts w:ascii="Calibri" w:eastAsia="Times New Roman" w:hAnsi="Calibri" w:cs="Times New Roman"/>
                <w:b/>
                <w:color w:val="000000"/>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18%</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13%</w:t>
            </w: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69%</w:t>
            </w:r>
          </w:p>
        </w:tc>
      </w:tr>
      <w:tr w:rsidR="00814763" w:rsidRPr="00DA5EFA" w:rsidTr="009A5605">
        <w:trPr>
          <w:trHeight w:val="288"/>
        </w:trPr>
        <w:tc>
          <w:tcPr>
            <w:tcW w:w="3780" w:type="dxa"/>
            <w:shd w:val="clear" w:color="auto" w:fill="auto"/>
            <w:noWrap/>
            <w:vAlign w:val="bottom"/>
          </w:tcPr>
          <w:p w:rsidR="00814763" w:rsidRPr="00720CB3" w:rsidRDefault="00814763" w:rsidP="00D55125">
            <w:pPr>
              <w:spacing w:after="0" w:line="240" w:lineRule="auto"/>
              <w:rPr>
                <w:rFonts w:ascii="Calibri" w:eastAsia="Times New Roman" w:hAnsi="Calibri" w:cs="Times New Roman"/>
                <w:b/>
              </w:rPr>
            </w:pPr>
            <w:r w:rsidRPr="00720CB3">
              <w:rPr>
                <w:rFonts w:ascii="Calibri" w:eastAsia="Times New Roman" w:hAnsi="Calibri" w:cs="Times New Roman"/>
                <w:b/>
              </w:rPr>
              <w:t>Cervical cancer, invasive</w:t>
            </w:r>
          </w:p>
        </w:tc>
        <w:tc>
          <w:tcPr>
            <w:tcW w:w="900" w:type="dxa"/>
            <w:tcBorders>
              <w:left w:val="single" w:sz="4" w:space="0" w:color="auto"/>
              <w:right w:val="single" w:sz="4" w:space="0" w:color="auto"/>
            </w:tcBorders>
            <w:shd w:val="clear" w:color="auto" w:fill="auto"/>
            <w:noWrap/>
            <w:vAlign w:val="bottom"/>
          </w:tcPr>
          <w:p w:rsidR="00814763" w:rsidRPr="002B525C" w:rsidRDefault="00814763" w:rsidP="00D55125">
            <w:pPr>
              <w:spacing w:after="0" w:line="240" w:lineRule="auto"/>
              <w:jc w:val="center"/>
              <w:rPr>
                <w:rFonts w:ascii="Calibri" w:hAnsi="Calibri" w:cs="Times New Roman"/>
                <w:b/>
                <w:lang w:eastAsia="ko-KR"/>
              </w:rPr>
            </w:pPr>
            <w:r>
              <w:rPr>
                <w:rFonts w:ascii="Calibri" w:hAnsi="Calibri" w:cs="Times New Roman"/>
                <w:b/>
                <w:lang w:eastAsia="ko-KR"/>
              </w:rPr>
              <w:t>100</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FF0000"/>
              </w:rPr>
            </w:pPr>
            <w:r w:rsidRPr="003042AA">
              <w:rPr>
                <w:rFonts w:ascii="Calibri" w:eastAsia="Times New Roman" w:hAnsi="Calibri" w:cs="Times New Roman"/>
                <w:b/>
                <w:color w:val="FF0000"/>
              </w:rPr>
              <w:t>x</w:t>
            </w: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70AD47" w:themeColor="accent6"/>
              </w:rPr>
            </w:pPr>
            <w:r w:rsidRPr="003042AA">
              <w:rPr>
                <w:rFonts w:ascii="Calibri" w:eastAsia="Times New Roman" w:hAnsi="Calibri" w:cs="Times New Roman"/>
                <w:b/>
                <w:color w:val="70AD47" w:themeColor="accent6"/>
              </w:rPr>
              <w:t>x</w:t>
            </w: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ED7D31" w:themeColor="accent2"/>
              </w:rPr>
            </w:pPr>
            <w:r w:rsidRPr="003042AA">
              <w:rPr>
                <w:rFonts w:ascii="Calibri" w:eastAsia="Times New Roman" w:hAnsi="Calibri" w:cs="Times New Roman"/>
                <w:b/>
                <w:color w:val="ED7D31" w:themeColor="accent2"/>
              </w:rPr>
              <w:t> </w:t>
            </w: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40</w:t>
            </w:r>
            <w:r w:rsidRPr="003042AA">
              <w:rPr>
                <w:rFonts w:ascii="Calibri" w:eastAsia="Times New Roman" w:hAnsi="Calibri" w:cs="Times New Roman"/>
                <w:b/>
                <w:color w:val="000000"/>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30%</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21%</w:t>
            </w: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49%</w:t>
            </w:r>
          </w:p>
        </w:tc>
      </w:tr>
      <w:tr w:rsidR="00814763" w:rsidRPr="00DA5EFA" w:rsidTr="009A5605">
        <w:trPr>
          <w:trHeight w:val="288"/>
        </w:trPr>
        <w:tc>
          <w:tcPr>
            <w:tcW w:w="3780" w:type="dxa"/>
            <w:shd w:val="clear" w:color="auto" w:fill="auto"/>
            <w:noWrap/>
            <w:vAlign w:val="bottom"/>
          </w:tcPr>
          <w:p w:rsidR="00814763" w:rsidRPr="00720CB3" w:rsidRDefault="00814763" w:rsidP="00D55125">
            <w:pPr>
              <w:spacing w:after="0" w:line="240" w:lineRule="auto"/>
              <w:rPr>
                <w:rFonts w:ascii="Calibri" w:eastAsia="Times New Roman" w:hAnsi="Calibri" w:cs="Times New Roman"/>
                <w:b/>
              </w:rPr>
            </w:pPr>
            <w:r w:rsidRPr="009814EE">
              <w:rPr>
                <w:rFonts w:ascii="Calibri" w:hAnsi="Calibri" w:cs="Times New Roman"/>
                <w:lang w:eastAsia="ko-KR"/>
              </w:rPr>
              <w:t xml:space="preserve">75 other tobacco related cancers : (47) lung; (9) </w:t>
            </w:r>
            <w:proofErr w:type="spellStart"/>
            <w:r w:rsidRPr="009814EE">
              <w:rPr>
                <w:rFonts w:ascii="Calibri" w:hAnsi="Calibri" w:cs="Times New Roman"/>
                <w:lang w:eastAsia="ko-KR"/>
              </w:rPr>
              <w:t>tob-rel</w:t>
            </w:r>
            <w:proofErr w:type="spellEnd"/>
            <w:r w:rsidRPr="009814EE">
              <w:rPr>
                <w:rFonts w:ascii="Calibri" w:hAnsi="Calibri" w:cs="Times New Roman"/>
                <w:lang w:eastAsia="ko-KR"/>
              </w:rPr>
              <w:t xml:space="preserve"> OP, (1) </w:t>
            </w:r>
            <w:proofErr w:type="spellStart"/>
            <w:r w:rsidRPr="009814EE">
              <w:rPr>
                <w:rFonts w:ascii="Calibri" w:hAnsi="Calibri" w:cs="Times New Roman"/>
                <w:lang w:eastAsia="ko-KR"/>
              </w:rPr>
              <w:t>esoph</w:t>
            </w:r>
            <w:proofErr w:type="spellEnd"/>
            <w:r w:rsidRPr="009814EE">
              <w:rPr>
                <w:rFonts w:ascii="Calibri" w:hAnsi="Calibri" w:cs="Times New Roman"/>
                <w:lang w:eastAsia="ko-KR"/>
              </w:rPr>
              <w:t>, (18) pharynx</w:t>
            </w:r>
          </w:p>
        </w:tc>
        <w:tc>
          <w:tcPr>
            <w:tcW w:w="900" w:type="dxa"/>
            <w:tcBorders>
              <w:left w:val="single" w:sz="4" w:space="0" w:color="auto"/>
              <w:right w:val="single" w:sz="4" w:space="0" w:color="auto"/>
            </w:tcBorders>
            <w:shd w:val="clear" w:color="auto" w:fill="auto"/>
            <w:noWrap/>
            <w:vAlign w:val="bottom"/>
          </w:tcPr>
          <w:p w:rsidR="00814763" w:rsidRPr="002B525C" w:rsidRDefault="00814763" w:rsidP="00D55125">
            <w:pPr>
              <w:spacing w:after="0" w:line="240" w:lineRule="auto"/>
              <w:jc w:val="center"/>
              <w:rPr>
                <w:rFonts w:ascii="Calibri" w:hAnsi="Calibri" w:cs="Times New Roman"/>
                <w:b/>
                <w:lang w:eastAsia="ko-KR"/>
              </w:rPr>
            </w:pPr>
            <w:r>
              <w:rPr>
                <w:rFonts w:ascii="Calibri" w:hAnsi="Calibri" w:cs="Times New Roman"/>
                <w:b/>
                <w:lang w:eastAsia="ko-KR"/>
              </w:rPr>
              <w:t>75</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FF0000"/>
              </w:rPr>
            </w:pPr>
            <w:r w:rsidRPr="003042AA">
              <w:rPr>
                <w:rFonts w:ascii="Calibri" w:eastAsia="Times New Roman" w:hAnsi="Calibri" w:cs="Times New Roman"/>
                <w:b/>
                <w:color w:val="FF0000"/>
              </w:rPr>
              <w:t>x</w:t>
            </w: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Times New Roman" w:eastAsia="Times New Roman" w:hAnsi="Times New Roman" w:cs="Times New Roman"/>
                <w:b/>
                <w:color w:val="70AD47" w:themeColor="accent6"/>
                <w:sz w:val="20"/>
                <w:szCs w:val="20"/>
              </w:rPr>
            </w:pP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ED7D31" w:themeColor="accent2"/>
              </w:rPr>
            </w:pPr>
            <w:r w:rsidRPr="003042AA">
              <w:rPr>
                <w:rFonts w:ascii="Calibri" w:eastAsia="Times New Roman" w:hAnsi="Calibri" w:cs="Times New Roman"/>
                <w:b/>
                <w:color w:val="ED7D31" w:themeColor="accent2"/>
              </w:rPr>
              <w:t> </w:t>
            </w: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60</w:t>
            </w:r>
            <w:r w:rsidRPr="003042AA">
              <w:rPr>
                <w:rFonts w:ascii="Calibri" w:eastAsia="Times New Roman" w:hAnsi="Calibri" w:cs="Times New Roman"/>
                <w:b/>
                <w:color w:val="000000"/>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3%</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8%</w:t>
            </w: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89%</w:t>
            </w:r>
          </w:p>
        </w:tc>
      </w:tr>
      <w:tr w:rsidR="00814763" w:rsidRPr="00DA5EFA" w:rsidTr="009A5605">
        <w:trPr>
          <w:trHeight w:val="288"/>
        </w:trPr>
        <w:tc>
          <w:tcPr>
            <w:tcW w:w="3780" w:type="dxa"/>
            <w:shd w:val="clear" w:color="auto" w:fill="auto"/>
            <w:noWrap/>
            <w:vAlign w:val="bottom"/>
          </w:tcPr>
          <w:p w:rsidR="00814763" w:rsidRDefault="00814763" w:rsidP="00D55125">
            <w:pPr>
              <w:spacing w:after="0" w:line="240" w:lineRule="auto"/>
              <w:rPr>
                <w:rFonts w:ascii="Calibri" w:eastAsia="Times New Roman" w:hAnsi="Calibri" w:cs="Times New Roman"/>
                <w:b/>
              </w:rPr>
            </w:pPr>
            <w:r w:rsidRPr="00720CB3">
              <w:rPr>
                <w:rFonts w:ascii="Calibri" w:eastAsia="Times New Roman" w:hAnsi="Calibri" w:cs="Times New Roman"/>
                <w:b/>
              </w:rPr>
              <w:t xml:space="preserve">Breast invasive </w:t>
            </w:r>
          </w:p>
          <w:p w:rsidR="00814763" w:rsidRPr="00490BA9" w:rsidRDefault="00814763" w:rsidP="00D55125">
            <w:pPr>
              <w:spacing w:after="0" w:line="240" w:lineRule="auto"/>
              <w:rPr>
                <w:rFonts w:ascii="Calibri" w:eastAsia="Times New Roman" w:hAnsi="Calibri" w:cs="Times New Roman"/>
                <w:b/>
              </w:rPr>
            </w:pPr>
            <w:r>
              <w:rPr>
                <w:rFonts w:ascii="Calibri" w:eastAsia="Times New Roman" w:hAnsi="Calibri" w:cs="Times New Roman"/>
              </w:rPr>
              <w:t>Note 1 other cases detected early enough for a cure! (Ductal carcinoma in-situ (early, non-invasive cancer</w:t>
            </w:r>
            <w:r w:rsidRPr="00DA5EFA">
              <w:rPr>
                <w:rFonts w:ascii="Calibri" w:eastAsia="Times New Roman" w:hAnsi="Calibri" w:cs="Times New Roman"/>
              </w:rPr>
              <w:t>)</w:t>
            </w:r>
            <w:r>
              <w:rPr>
                <w:rFonts w:ascii="Calibri" w:eastAsia="Times New Roman" w:hAnsi="Calibri" w:cs="Times New Roman"/>
              </w:rPr>
              <w:t>)</w:t>
            </w:r>
          </w:p>
        </w:tc>
        <w:tc>
          <w:tcPr>
            <w:tcW w:w="900" w:type="dxa"/>
            <w:tcBorders>
              <w:left w:val="single" w:sz="4" w:space="0" w:color="auto"/>
              <w:right w:val="single" w:sz="4" w:space="0" w:color="auto"/>
            </w:tcBorders>
            <w:shd w:val="clear" w:color="auto" w:fill="auto"/>
            <w:noWrap/>
            <w:vAlign w:val="bottom"/>
          </w:tcPr>
          <w:p w:rsidR="00814763" w:rsidRPr="002B525C" w:rsidRDefault="00814763" w:rsidP="00D55125">
            <w:pPr>
              <w:spacing w:after="0" w:line="240" w:lineRule="auto"/>
              <w:jc w:val="center"/>
              <w:rPr>
                <w:rFonts w:ascii="Calibri" w:hAnsi="Calibri" w:cs="Times New Roman"/>
                <w:b/>
                <w:lang w:eastAsia="ko-KR"/>
              </w:rPr>
            </w:pPr>
            <w:r>
              <w:rPr>
                <w:rFonts w:ascii="Calibri" w:hAnsi="Calibri" w:cs="Times New Roman"/>
                <w:b/>
                <w:lang w:eastAsia="ko-KR"/>
              </w:rPr>
              <w:t>39</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FF0000"/>
              </w:rPr>
            </w:pPr>
            <w:r w:rsidRPr="003042AA">
              <w:rPr>
                <w:rFonts w:ascii="Calibri" w:eastAsia="Times New Roman" w:hAnsi="Calibri" w:cs="Times New Roman"/>
                <w:b/>
                <w:color w:val="FF0000"/>
              </w:rPr>
              <w:t>x</w:t>
            </w: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4472C4" w:themeColor="accent5"/>
              </w:rPr>
            </w:pPr>
            <w:r w:rsidRPr="003042AA">
              <w:rPr>
                <w:rFonts w:ascii="Calibri" w:eastAsia="Times New Roman" w:hAnsi="Calibri" w:cs="Times New Roman"/>
                <w:b/>
                <w:color w:val="4472C4" w:themeColor="accent5"/>
              </w:rPr>
              <w:t>x</w:t>
            </w: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70AD47" w:themeColor="accent6"/>
              </w:rPr>
            </w:pPr>
            <w:r w:rsidRPr="003042AA">
              <w:rPr>
                <w:rFonts w:ascii="Calibri" w:eastAsia="Times New Roman" w:hAnsi="Calibri" w:cs="Times New Roman"/>
                <w:b/>
                <w:color w:val="70AD47" w:themeColor="accent6"/>
              </w:rPr>
              <w:t>x</w:t>
            </w: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sidRPr="003042AA">
              <w:rPr>
                <w:rFonts w:ascii="Calibri" w:eastAsia="Times New Roman" w:hAnsi="Calibri" w:cs="Times New Roman"/>
                <w:b/>
                <w:color w:val="000000"/>
              </w:rPr>
              <w:t> </w:t>
            </w: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Pr>
                <w:rFonts w:ascii="Calibri" w:hAnsi="Calibri" w:cs="Times New Roman"/>
                <w:b/>
                <w:color w:val="000000"/>
                <w:lang w:eastAsia="ko-KR"/>
              </w:rPr>
              <w:t>31</w:t>
            </w:r>
            <w:r w:rsidRPr="003042AA">
              <w:rPr>
                <w:rFonts w:ascii="Calibri" w:eastAsia="Times New Roman" w:hAnsi="Calibri" w:cs="Times New Roman"/>
                <w:b/>
                <w:color w:val="000000"/>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26%</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13%</w:t>
            </w: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61%</w:t>
            </w:r>
          </w:p>
        </w:tc>
      </w:tr>
      <w:tr w:rsidR="00814763" w:rsidRPr="00DA5EFA" w:rsidTr="009A5605">
        <w:trPr>
          <w:trHeight w:val="288"/>
        </w:trPr>
        <w:tc>
          <w:tcPr>
            <w:tcW w:w="3780" w:type="dxa"/>
            <w:shd w:val="clear" w:color="auto" w:fill="auto"/>
            <w:noWrap/>
            <w:vAlign w:val="bottom"/>
          </w:tcPr>
          <w:p w:rsidR="00814763" w:rsidRPr="00720CB3" w:rsidRDefault="00814763" w:rsidP="00D55125">
            <w:pPr>
              <w:spacing w:after="0" w:line="240" w:lineRule="auto"/>
              <w:rPr>
                <w:rFonts w:ascii="Calibri" w:eastAsia="Times New Roman" w:hAnsi="Calibri" w:cs="Times New Roman"/>
                <w:b/>
              </w:rPr>
            </w:pPr>
            <w:r w:rsidRPr="00720CB3">
              <w:rPr>
                <w:rFonts w:ascii="Calibri" w:eastAsia="Times New Roman" w:hAnsi="Calibri" w:cs="Times New Roman"/>
                <w:b/>
              </w:rPr>
              <w:t>Liver</w:t>
            </w:r>
          </w:p>
        </w:tc>
        <w:tc>
          <w:tcPr>
            <w:tcW w:w="90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r>
              <w:rPr>
                <w:rFonts w:ascii="Calibri" w:eastAsia="Times New Roman" w:hAnsi="Calibri" w:cs="Times New Roman"/>
                <w:b/>
              </w:rPr>
              <w:t>26</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Times New Roman" w:eastAsia="Times New Roman" w:hAnsi="Times New Roman" w:cs="Times New Roman"/>
                <w:b/>
                <w:sz w:val="20"/>
                <w:szCs w:val="20"/>
              </w:rPr>
            </w:pP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Times New Roman" w:eastAsia="Times New Roman" w:hAnsi="Times New Roman" w:cs="Times New Roman"/>
                <w:b/>
                <w:sz w:val="20"/>
                <w:szCs w:val="20"/>
              </w:rPr>
            </w:pP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rPr>
            </w:pPr>
            <w:r w:rsidRPr="003042AA">
              <w:rPr>
                <w:rFonts w:ascii="Calibri" w:eastAsia="Times New Roman" w:hAnsi="Calibri" w:cs="Times New Roman"/>
                <w:b/>
              </w:rPr>
              <w:t> </w:t>
            </w: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rPr>
            </w:pPr>
            <w:r>
              <w:rPr>
                <w:rFonts w:ascii="Calibri" w:eastAsia="Times New Roman" w:hAnsi="Calibri" w:cs="Times New Roman"/>
                <w:b/>
              </w:rPr>
              <w:t>96</w:t>
            </w:r>
            <w:r w:rsidRPr="003042AA">
              <w:rPr>
                <w:rFonts w:ascii="Calibri" w:eastAsia="Times New Roman" w:hAnsi="Calibri" w:cs="Times New Roman"/>
                <w:b/>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19%</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12%</w:t>
            </w: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69%</w:t>
            </w:r>
          </w:p>
        </w:tc>
      </w:tr>
      <w:tr w:rsidR="00814763" w:rsidRPr="00DA5EFA" w:rsidTr="009A5605">
        <w:trPr>
          <w:trHeight w:val="288"/>
        </w:trPr>
        <w:tc>
          <w:tcPr>
            <w:tcW w:w="3780" w:type="dxa"/>
            <w:shd w:val="clear" w:color="auto" w:fill="auto"/>
            <w:noWrap/>
            <w:vAlign w:val="bottom"/>
          </w:tcPr>
          <w:p w:rsidR="00814763" w:rsidRPr="00720CB3" w:rsidRDefault="00814763" w:rsidP="00D55125">
            <w:pPr>
              <w:spacing w:after="0" w:line="240" w:lineRule="auto"/>
              <w:rPr>
                <w:rFonts w:ascii="Calibri" w:eastAsia="Times New Roman" w:hAnsi="Calibri" w:cs="Times New Roman"/>
                <w:b/>
              </w:rPr>
            </w:pPr>
            <w:r w:rsidRPr="00720CB3">
              <w:rPr>
                <w:rFonts w:ascii="Calibri" w:eastAsia="Times New Roman" w:hAnsi="Calibri" w:cs="Times New Roman"/>
                <w:b/>
              </w:rPr>
              <w:t>Uterus</w:t>
            </w:r>
          </w:p>
        </w:tc>
        <w:tc>
          <w:tcPr>
            <w:tcW w:w="900" w:type="dxa"/>
            <w:tcBorders>
              <w:left w:val="single" w:sz="4" w:space="0" w:color="auto"/>
              <w:right w:val="single" w:sz="4" w:space="0" w:color="auto"/>
            </w:tcBorders>
            <w:shd w:val="clear" w:color="auto" w:fill="auto"/>
            <w:noWrap/>
            <w:vAlign w:val="bottom"/>
          </w:tcPr>
          <w:p w:rsidR="00814763" w:rsidRPr="002B525C" w:rsidRDefault="00814763" w:rsidP="00D55125">
            <w:pPr>
              <w:spacing w:after="0" w:line="240" w:lineRule="auto"/>
              <w:jc w:val="center"/>
              <w:rPr>
                <w:rFonts w:ascii="Calibri" w:hAnsi="Calibri" w:cs="Times New Roman"/>
                <w:b/>
                <w:lang w:eastAsia="ko-KR"/>
              </w:rPr>
            </w:pPr>
            <w:r>
              <w:rPr>
                <w:rFonts w:ascii="Calibri" w:hAnsi="Calibri" w:cs="Times New Roman"/>
                <w:b/>
                <w:lang w:eastAsia="ko-KR"/>
              </w:rPr>
              <w:t>22</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FF0000"/>
              </w:rPr>
            </w:pPr>
            <w:r w:rsidRPr="003042AA">
              <w:rPr>
                <w:rFonts w:ascii="Calibri" w:eastAsia="Times New Roman" w:hAnsi="Calibri" w:cs="Times New Roman"/>
                <w:b/>
                <w:color w:val="FF0000"/>
              </w:rPr>
              <w:t>x</w:t>
            </w: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4472C4" w:themeColor="accent5"/>
              </w:rPr>
            </w:pPr>
            <w:r w:rsidRPr="003042AA">
              <w:rPr>
                <w:rFonts w:ascii="Calibri" w:eastAsia="Times New Roman" w:hAnsi="Calibri" w:cs="Times New Roman"/>
                <w:b/>
                <w:color w:val="4472C4" w:themeColor="accent5"/>
              </w:rPr>
              <w:t>x</w:t>
            </w: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70AD47" w:themeColor="accent6"/>
              </w:rPr>
            </w:pP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ED7D31" w:themeColor="accent2"/>
              </w:rPr>
            </w:pPr>
            <w:r w:rsidRPr="003042AA">
              <w:rPr>
                <w:rFonts w:ascii="Calibri" w:eastAsia="Times New Roman" w:hAnsi="Calibri" w:cs="Times New Roman"/>
                <w:b/>
                <w:color w:val="ED7D31" w:themeColor="accent2"/>
              </w:rPr>
              <w:t>x</w:t>
            </w: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18</w:t>
            </w:r>
            <w:r w:rsidRPr="003042AA">
              <w:rPr>
                <w:rFonts w:ascii="Calibri" w:eastAsia="Times New Roman" w:hAnsi="Calibri" w:cs="Times New Roman"/>
                <w:b/>
                <w:color w:val="000000"/>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55%</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18%</w:t>
            </w: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27%</w:t>
            </w:r>
          </w:p>
        </w:tc>
      </w:tr>
      <w:tr w:rsidR="00814763" w:rsidRPr="00DA5EFA" w:rsidTr="009A5605">
        <w:trPr>
          <w:trHeight w:val="288"/>
        </w:trPr>
        <w:tc>
          <w:tcPr>
            <w:tcW w:w="3780" w:type="dxa"/>
            <w:shd w:val="clear" w:color="auto" w:fill="auto"/>
            <w:noWrap/>
            <w:vAlign w:val="bottom"/>
          </w:tcPr>
          <w:p w:rsidR="00814763" w:rsidRPr="00720CB3" w:rsidRDefault="00814763" w:rsidP="00D55125">
            <w:pPr>
              <w:spacing w:after="0" w:line="240" w:lineRule="auto"/>
              <w:rPr>
                <w:rFonts w:ascii="Calibri" w:eastAsia="Times New Roman" w:hAnsi="Calibri" w:cs="Times New Roman"/>
                <w:b/>
              </w:rPr>
            </w:pPr>
            <w:r w:rsidRPr="00720CB3">
              <w:rPr>
                <w:rFonts w:ascii="Calibri" w:eastAsia="Times New Roman" w:hAnsi="Calibri" w:cs="Times New Roman"/>
                <w:b/>
              </w:rPr>
              <w:t>Ill-defined</w:t>
            </w:r>
          </w:p>
        </w:tc>
        <w:tc>
          <w:tcPr>
            <w:tcW w:w="900" w:type="dxa"/>
            <w:tcBorders>
              <w:left w:val="single" w:sz="4" w:space="0" w:color="auto"/>
              <w:right w:val="single" w:sz="4" w:space="0" w:color="auto"/>
            </w:tcBorders>
            <w:shd w:val="clear" w:color="auto" w:fill="auto"/>
            <w:noWrap/>
            <w:vAlign w:val="bottom"/>
          </w:tcPr>
          <w:p w:rsidR="00814763" w:rsidRPr="002B525C" w:rsidRDefault="00814763" w:rsidP="00D55125">
            <w:pPr>
              <w:spacing w:after="0" w:line="240" w:lineRule="auto"/>
              <w:jc w:val="center"/>
              <w:rPr>
                <w:rFonts w:ascii="Calibri" w:hAnsi="Calibri" w:cs="Times New Roman"/>
                <w:b/>
                <w:lang w:eastAsia="ko-KR"/>
              </w:rPr>
            </w:pPr>
            <w:r>
              <w:rPr>
                <w:rFonts w:ascii="Calibri" w:hAnsi="Calibri" w:cs="Times New Roman"/>
                <w:b/>
                <w:lang w:eastAsia="ko-KR"/>
              </w:rPr>
              <w:t>16</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Times New Roman" w:eastAsia="Times New Roman" w:hAnsi="Times New Roman" w:cs="Times New Roman"/>
                <w:b/>
                <w:sz w:val="20"/>
                <w:szCs w:val="20"/>
              </w:rPr>
            </w:pP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Times New Roman" w:eastAsia="Times New Roman" w:hAnsi="Times New Roman" w:cs="Times New Roman"/>
                <w:b/>
                <w:sz w:val="20"/>
                <w:szCs w:val="20"/>
              </w:rPr>
            </w:pP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rPr>
            </w:pPr>
            <w:r w:rsidRPr="003042AA">
              <w:rPr>
                <w:rFonts w:ascii="Calibri" w:eastAsia="Times New Roman" w:hAnsi="Calibri" w:cs="Times New Roman"/>
                <w:b/>
              </w:rPr>
              <w:t> </w:t>
            </w: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rPr>
            </w:pPr>
            <w:r>
              <w:rPr>
                <w:rFonts w:ascii="Calibri" w:eastAsia="Times New Roman" w:hAnsi="Calibri" w:cs="Times New Roman"/>
                <w:b/>
              </w:rPr>
              <w:t>81</w:t>
            </w:r>
            <w:r w:rsidRPr="003042AA">
              <w:rPr>
                <w:rFonts w:ascii="Calibri" w:eastAsia="Times New Roman" w:hAnsi="Calibri" w:cs="Times New Roman"/>
                <w:b/>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100%</w:t>
            </w:r>
          </w:p>
        </w:tc>
      </w:tr>
      <w:tr w:rsidR="00814763" w:rsidRPr="00DA5EFA" w:rsidTr="009A5605">
        <w:trPr>
          <w:trHeight w:val="288"/>
        </w:trPr>
        <w:tc>
          <w:tcPr>
            <w:tcW w:w="3780" w:type="dxa"/>
            <w:shd w:val="clear" w:color="auto" w:fill="auto"/>
            <w:noWrap/>
            <w:vAlign w:val="bottom"/>
          </w:tcPr>
          <w:p w:rsidR="00814763" w:rsidRPr="00720CB3" w:rsidRDefault="00814763" w:rsidP="00D55125">
            <w:pPr>
              <w:spacing w:after="0" w:line="240" w:lineRule="auto"/>
              <w:rPr>
                <w:rFonts w:ascii="Calibri" w:eastAsia="Times New Roman" w:hAnsi="Calibri" w:cs="Times New Roman"/>
                <w:b/>
              </w:rPr>
            </w:pPr>
            <w:r w:rsidRPr="00720CB3">
              <w:rPr>
                <w:rFonts w:ascii="Calibri" w:eastAsia="Times New Roman" w:hAnsi="Calibri" w:cs="Times New Roman"/>
                <w:b/>
              </w:rPr>
              <w:t>Colorectal</w:t>
            </w:r>
          </w:p>
        </w:tc>
        <w:tc>
          <w:tcPr>
            <w:tcW w:w="900" w:type="dxa"/>
            <w:tcBorders>
              <w:left w:val="single" w:sz="4" w:space="0" w:color="auto"/>
              <w:right w:val="single" w:sz="4" w:space="0" w:color="auto"/>
            </w:tcBorders>
            <w:shd w:val="clear" w:color="auto" w:fill="auto"/>
            <w:noWrap/>
            <w:vAlign w:val="bottom"/>
          </w:tcPr>
          <w:p w:rsidR="00814763" w:rsidRPr="002B525C" w:rsidRDefault="00814763" w:rsidP="00D55125">
            <w:pPr>
              <w:spacing w:after="0" w:line="240" w:lineRule="auto"/>
              <w:jc w:val="center"/>
              <w:rPr>
                <w:rFonts w:ascii="Calibri" w:hAnsi="Calibri" w:cs="Times New Roman"/>
                <w:b/>
                <w:lang w:eastAsia="ko-KR"/>
              </w:rPr>
            </w:pPr>
            <w:r>
              <w:rPr>
                <w:rFonts w:ascii="Calibri" w:hAnsi="Calibri" w:cs="Times New Roman"/>
                <w:b/>
                <w:lang w:eastAsia="ko-KR"/>
              </w:rPr>
              <w:t>16</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FF0000"/>
              </w:rPr>
            </w:pPr>
            <w:r w:rsidRPr="003042AA">
              <w:rPr>
                <w:rFonts w:ascii="Calibri" w:eastAsia="Times New Roman" w:hAnsi="Calibri" w:cs="Times New Roman"/>
                <w:b/>
                <w:color w:val="FF0000"/>
              </w:rPr>
              <w:t>x</w:t>
            </w: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4472C4" w:themeColor="accent5"/>
              </w:rPr>
            </w:pPr>
            <w:r w:rsidRPr="003042AA">
              <w:rPr>
                <w:rFonts w:ascii="Calibri" w:eastAsia="Times New Roman" w:hAnsi="Calibri" w:cs="Times New Roman"/>
                <w:b/>
                <w:color w:val="4472C4" w:themeColor="accent5"/>
              </w:rPr>
              <w:t>x</w:t>
            </w: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70AD47" w:themeColor="accent6"/>
              </w:rPr>
            </w:pPr>
            <w:r w:rsidRPr="003042AA">
              <w:rPr>
                <w:rFonts w:ascii="Calibri" w:eastAsia="Times New Roman" w:hAnsi="Calibri" w:cs="Times New Roman"/>
                <w:b/>
                <w:color w:val="70AD47" w:themeColor="accent6"/>
              </w:rPr>
              <w:t>x</w:t>
            </w: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ED7D31" w:themeColor="accent2"/>
              </w:rPr>
            </w:pPr>
            <w:r w:rsidRPr="003042AA">
              <w:rPr>
                <w:rFonts w:ascii="Calibri" w:eastAsia="Times New Roman" w:hAnsi="Calibri" w:cs="Times New Roman"/>
                <w:b/>
                <w:color w:val="ED7D31" w:themeColor="accent2"/>
              </w:rPr>
              <w:t> </w:t>
            </w: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Pr>
                <w:rFonts w:ascii="Calibri" w:hAnsi="Calibri" w:cs="Times New Roman" w:hint="eastAsia"/>
                <w:b/>
                <w:color w:val="000000"/>
                <w:lang w:eastAsia="ko-KR"/>
              </w:rPr>
              <w:t>3</w:t>
            </w:r>
            <w:r>
              <w:rPr>
                <w:rFonts w:ascii="Calibri" w:hAnsi="Calibri" w:cs="Times New Roman"/>
                <w:b/>
                <w:color w:val="000000"/>
                <w:lang w:eastAsia="ko-KR"/>
              </w:rPr>
              <w:t>8</w:t>
            </w:r>
            <w:r w:rsidRPr="003042AA">
              <w:rPr>
                <w:rFonts w:ascii="Calibri" w:eastAsia="Times New Roman" w:hAnsi="Calibri" w:cs="Times New Roman"/>
                <w:b/>
                <w:color w:val="000000"/>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25%</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13%</w:t>
            </w: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62%</w:t>
            </w:r>
          </w:p>
        </w:tc>
      </w:tr>
      <w:tr w:rsidR="00814763" w:rsidRPr="00DA5EFA" w:rsidTr="009A5605">
        <w:trPr>
          <w:trHeight w:val="288"/>
        </w:trPr>
        <w:tc>
          <w:tcPr>
            <w:tcW w:w="3780" w:type="dxa"/>
            <w:shd w:val="clear" w:color="auto" w:fill="auto"/>
            <w:noWrap/>
            <w:vAlign w:val="bottom"/>
          </w:tcPr>
          <w:p w:rsidR="00814763" w:rsidRPr="00720CB3" w:rsidRDefault="00814763" w:rsidP="00D55125">
            <w:pPr>
              <w:spacing w:after="0" w:line="240" w:lineRule="auto"/>
              <w:rPr>
                <w:rFonts w:ascii="Calibri" w:eastAsia="Times New Roman" w:hAnsi="Calibri" w:cs="Times New Roman"/>
                <w:b/>
              </w:rPr>
            </w:pPr>
            <w:r>
              <w:rPr>
                <w:rFonts w:ascii="Calibri" w:eastAsia="Times New Roman" w:hAnsi="Calibri" w:cs="Times New Roman"/>
                <w:b/>
              </w:rPr>
              <w:t>Leukemia</w:t>
            </w:r>
          </w:p>
        </w:tc>
        <w:tc>
          <w:tcPr>
            <w:tcW w:w="90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r>
              <w:rPr>
                <w:rFonts w:ascii="Calibri" w:eastAsia="Times New Roman" w:hAnsi="Calibri" w:cs="Times New Roman"/>
                <w:b/>
              </w:rPr>
              <w:t>15</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Times New Roman" w:eastAsia="Times New Roman" w:hAnsi="Times New Roman" w:cs="Times New Roman"/>
                <w:b/>
                <w:sz w:val="20"/>
                <w:szCs w:val="20"/>
              </w:rPr>
            </w:pP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70AD47" w:themeColor="accent6"/>
              </w:rPr>
            </w:pP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ED7D31" w:themeColor="accent2"/>
              </w:rPr>
            </w:pP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87</w:t>
            </w:r>
            <w:r w:rsidRPr="003042AA">
              <w:rPr>
                <w:rFonts w:ascii="Calibri" w:eastAsia="Times New Roman" w:hAnsi="Calibri" w:cs="Times New Roman"/>
                <w:b/>
                <w:color w:val="000000"/>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100%</w:t>
            </w:r>
          </w:p>
        </w:tc>
      </w:tr>
      <w:tr w:rsidR="00814763" w:rsidRPr="00DA5EFA" w:rsidTr="009A5605">
        <w:trPr>
          <w:trHeight w:val="288"/>
        </w:trPr>
        <w:tc>
          <w:tcPr>
            <w:tcW w:w="3780" w:type="dxa"/>
            <w:shd w:val="clear" w:color="auto" w:fill="auto"/>
            <w:noWrap/>
            <w:vAlign w:val="bottom"/>
          </w:tcPr>
          <w:p w:rsidR="00814763" w:rsidRPr="00720CB3" w:rsidRDefault="00814763" w:rsidP="00D55125">
            <w:pPr>
              <w:spacing w:after="0" w:line="240" w:lineRule="auto"/>
              <w:rPr>
                <w:rFonts w:ascii="Calibri" w:eastAsia="Times New Roman" w:hAnsi="Calibri" w:cs="Times New Roman"/>
                <w:b/>
              </w:rPr>
            </w:pPr>
            <w:r>
              <w:rPr>
                <w:rFonts w:ascii="Calibri" w:eastAsia="Times New Roman" w:hAnsi="Calibri" w:cs="Times New Roman"/>
                <w:b/>
              </w:rPr>
              <w:t>Non-Hodgkin Lymphoma</w:t>
            </w:r>
          </w:p>
        </w:tc>
        <w:tc>
          <w:tcPr>
            <w:tcW w:w="900" w:type="dxa"/>
            <w:tcBorders>
              <w:left w:val="single" w:sz="4" w:space="0" w:color="auto"/>
              <w:right w:val="single" w:sz="4" w:space="0" w:color="auto"/>
            </w:tcBorders>
            <w:shd w:val="clear" w:color="auto" w:fill="auto"/>
            <w:noWrap/>
            <w:vAlign w:val="bottom"/>
          </w:tcPr>
          <w:p w:rsidR="00814763" w:rsidRPr="002B525C" w:rsidRDefault="00814763" w:rsidP="00D55125">
            <w:pPr>
              <w:spacing w:after="0" w:line="240" w:lineRule="auto"/>
              <w:jc w:val="center"/>
              <w:rPr>
                <w:rFonts w:ascii="Calibri" w:hAnsi="Calibri" w:cs="Times New Roman"/>
                <w:b/>
                <w:lang w:eastAsia="ko-KR"/>
              </w:rPr>
            </w:pPr>
            <w:r>
              <w:rPr>
                <w:rFonts w:ascii="Calibri" w:hAnsi="Calibri" w:cs="Times New Roman"/>
                <w:b/>
                <w:lang w:eastAsia="ko-KR"/>
              </w:rPr>
              <w:t>15</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FF0000"/>
              </w:rPr>
            </w:pP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4472C4" w:themeColor="accent5"/>
              </w:rPr>
            </w:pP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70AD47" w:themeColor="accent6"/>
              </w:rPr>
            </w:pP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ED7D31" w:themeColor="accent2"/>
              </w:rPr>
            </w:pP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Pr>
                <w:rFonts w:ascii="Calibri" w:hAnsi="Calibri" w:cs="Times New Roman"/>
                <w:b/>
                <w:color w:val="000000"/>
                <w:lang w:eastAsia="ko-KR"/>
              </w:rPr>
              <w:t>80</w:t>
            </w:r>
            <w:r w:rsidRPr="003042AA">
              <w:rPr>
                <w:rFonts w:ascii="Calibri" w:eastAsia="Times New Roman" w:hAnsi="Calibri" w:cs="Times New Roman"/>
                <w:b/>
                <w:color w:val="000000"/>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7%</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93%</w:t>
            </w:r>
          </w:p>
        </w:tc>
      </w:tr>
      <w:tr w:rsidR="00814763" w:rsidRPr="00DA5EFA" w:rsidTr="009A5605">
        <w:trPr>
          <w:trHeight w:val="288"/>
        </w:trPr>
        <w:tc>
          <w:tcPr>
            <w:tcW w:w="3780" w:type="dxa"/>
            <w:shd w:val="clear" w:color="auto" w:fill="auto"/>
            <w:noWrap/>
            <w:vAlign w:val="bottom"/>
          </w:tcPr>
          <w:p w:rsidR="00814763" w:rsidRPr="00720CB3" w:rsidRDefault="00814763" w:rsidP="00D55125">
            <w:pPr>
              <w:spacing w:after="0" w:line="240" w:lineRule="auto"/>
              <w:rPr>
                <w:rFonts w:ascii="Calibri" w:eastAsia="Times New Roman" w:hAnsi="Calibri" w:cs="Times New Roman"/>
                <w:b/>
              </w:rPr>
            </w:pPr>
            <w:r>
              <w:rPr>
                <w:rFonts w:ascii="Calibri" w:hAnsi="Calibri" w:cs="Times New Roman" w:hint="eastAsia"/>
                <w:b/>
                <w:lang w:eastAsia="ko-KR"/>
              </w:rPr>
              <w:t>Stomach</w:t>
            </w:r>
          </w:p>
        </w:tc>
        <w:tc>
          <w:tcPr>
            <w:tcW w:w="90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r>
              <w:rPr>
                <w:rFonts w:ascii="Calibri" w:eastAsia="Times New Roman" w:hAnsi="Calibri" w:cs="Times New Roman"/>
                <w:b/>
              </w:rPr>
              <w:t>15</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rPr>
            </w:pPr>
            <w:r w:rsidRPr="003042AA">
              <w:rPr>
                <w:rFonts w:ascii="Calibri" w:eastAsia="Times New Roman" w:hAnsi="Calibri" w:cs="Times New Roman"/>
                <w:b/>
                <w:color w:val="FF0000"/>
              </w:rPr>
              <w:t>x</w:t>
            </w: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Times New Roman" w:eastAsia="Times New Roman" w:hAnsi="Times New Roman" w:cs="Times New Roman"/>
                <w:b/>
                <w:sz w:val="20"/>
                <w:szCs w:val="20"/>
              </w:rPr>
            </w:pP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70AD47" w:themeColor="accent6"/>
              </w:rPr>
            </w:pP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ED7D31" w:themeColor="accent2"/>
              </w:rPr>
            </w:pP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73</w:t>
            </w:r>
            <w:r w:rsidRPr="003042AA">
              <w:rPr>
                <w:rFonts w:ascii="Calibri" w:eastAsia="Times New Roman" w:hAnsi="Calibri" w:cs="Times New Roman"/>
                <w:b/>
                <w:color w:val="000000"/>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100%</w:t>
            </w:r>
          </w:p>
        </w:tc>
      </w:tr>
      <w:tr w:rsidR="00814763" w:rsidRPr="00DA5EFA" w:rsidTr="009A5605">
        <w:trPr>
          <w:trHeight w:val="288"/>
        </w:trPr>
        <w:tc>
          <w:tcPr>
            <w:tcW w:w="3780" w:type="dxa"/>
            <w:shd w:val="clear" w:color="auto" w:fill="auto"/>
            <w:noWrap/>
            <w:vAlign w:val="bottom"/>
          </w:tcPr>
          <w:p w:rsidR="00814763" w:rsidRPr="002B525C" w:rsidRDefault="00814763" w:rsidP="00D55125">
            <w:pPr>
              <w:spacing w:after="0" w:line="240" w:lineRule="auto"/>
              <w:rPr>
                <w:rFonts w:ascii="Calibri" w:hAnsi="Calibri" w:cs="Times New Roman"/>
                <w:b/>
                <w:lang w:eastAsia="ko-KR"/>
              </w:rPr>
            </w:pPr>
            <w:r>
              <w:rPr>
                <w:rFonts w:ascii="Calibri" w:hAnsi="Calibri" w:cs="Times New Roman"/>
                <w:b/>
                <w:lang w:eastAsia="ko-KR"/>
              </w:rPr>
              <w:t>Prostate</w:t>
            </w:r>
          </w:p>
        </w:tc>
        <w:tc>
          <w:tcPr>
            <w:tcW w:w="900" w:type="dxa"/>
            <w:tcBorders>
              <w:left w:val="single" w:sz="4" w:space="0" w:color="auto"/>
              <w:right w:val="single" w:sz="4" w:space="0" w:color="auto"/>
            </w:tcBorders>
            <w:shd w:val="clear" w:color="auto" w:fill="auto"/>
            <w:noWrap/>
            <w:vAlign w:val="bottom"/>
          </w:tcPr>
          <w:p w:rsidR="00814763" w:rsidRPr="002B525C" w:rsidRDefault="00814763" w:rsidP="00D55125">
            <w:pPr>
              <w:spacing w:after="0" w:line="240" w:lineRule="auto"/>
              <w:jc w:val="center"/>
              <w:rPr>
                <w:rFonts w:ascii="Calibri" w:hAnsi="Calibri" w:cs="Times New Roman"/>
                <w:b/>
                <w:lang w:eastAsia="ko-KR"/>
              </w:rPr>
            </w:pPr>
            <w:r>
              <w:rPr>
                <w:rFonts w:ascii="Calibri" w:hAnsi="Calibri" w:cs="Times New Roman"/>
                <w:b/>
                <w:lang w:eastAsia="ko-KR"/>
              </w:rPr>
              <w:t>12</w:t>
            </w:r>
          </w:p>
        </w:tc>
        <w:tc>
          <w:tcPr>
            <w:tcW w:w="990"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FF0000"/>
              </w:rPr>
            </w:pPr>
          </w:p>
        </w:tc>
        <w:tc>
          <w:tcPr>
            <w:tcW w:w="916"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4472C4" w:themeColor="accent5"/>
              </w:rPr>
            </w:pPr>
          </w:p>
        </w:tc>
        <w:tc>
          <w:tcPr>
            <w:tcW w:w="1107" w:type="dxa"/>
            <w:tcBorders>
              <w:left w:val="single" w:sz="4" w:space="0" w:color="auto"/>
              <w:right w:val="single" w:sz="4" w:space="0" w:color="auto"/>
            </w:tcBorders>
            <w:shd w:val="clear" w:color="auto" w:fill="auto"/>
            <w:noWrap/>
            <w:vAlign w:val="bottom"/>
          </w:tcPr>
          <w:p w:rsidR="00814763" w:rsidRPr="003042AA" w:rsidRDefault="00814763" w:rsidP="00D55125">
            <w:pPr>
              <w:spacing w:after="0" w:line="240" w:lineRule="auto"/>
              <w:jc w:val="center"/>
              <w:rPr>
                <w:rFonts w:ascii="Calibri" w:eastAsia="Times New Roman" w:hAnsi="Calibri" w:cs="Times New Roman"/>
                <w:b/>
                <w:color w:val="70AD47" w:themeColor="accent6"/>
              </w:rPr>
            </w:pPr>
            <w:r w:rsidRPr="003042AA">
              <w:rPr>
                <w:rFonts w:ascii="Calibri" w:eastAsia="Times New Roman" w:hAnsi="Calibri" w:cs="Times New Roman"/>
                <w:b/>
                <w:color w:val="70AD47" w:themeColor="accent6"/>
              </w:rPr>
              <w:t>x</w:t>
            </w:r>
          </w:p>
        </w:tc>
        <w:tc>
          <w:tcPr>
            <w:tcW w:w="1067" w:type="dxa"/>
            <w:tcBorders>
              <w:left w:val="single" w:sz="4" w:space="0" w:color="auto"/>
              <w:righ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ED7D31" w:themeColor="accent2"/>
              </w:rPr>
            </w:pPr>
            <w:r w:rsidRPr="003042AA">
              <w:rPr>
                <w:rFonts w:ascii="Calibri" w:eastAsia="Times New Roman" w:hAnsi="Calibri" w:cs="Times New Roman"/>
                <w:b/>
                <w:color w:val="ED7D31" w:themeColor="accent2"/>
              </w:rPr>
              <w:t>x</w:t>
            </w:r>
          </w:p>
        </w:tc>
        <w:tc>
          <w:tcPr>
            <w:tcW w:w="1530" w:type="dxa"/>
            <w:tcBorders>
              <w:left w:val="single" w:sz="4" w:space="0" w:color="auto"/>
            </w:tcBorders>
            <w:shd w:val="clear" w:color="000000" w:fill="FFFFFF"/>
            <w:noWrap/>
            <w:vAlign w:val="bottom"/>
          </w:tcPr>
          <w:p w:rsidR="00814763" w:rsidRPr="003042AA" w:rsidRDefault="00814763" w:rsidP="00D55125">
            <w:pPr>
              <w:spacing w:after="0" w:line="240" w:lineRule="auto"/>
              <w:jc w:val="center"/>
              <w:rPr>
                <w:rFonts w:ascii="Calibri" w:eastAsia="Times New Roman" w:hAnsi="Calibri" w:cs="Times New Roman"/>
                <w:b/>
                <w:color w:val="000000"/>
              </w:rPr>
            </w:pPr>
            <w:r>
              <w:rPr>
                <w:rFonts w:ascii="Calibri" w:hAnsi="Calibri" w:cs="Times New Roman"/>
                <w:b/>
                <w:color w:val="000000"/>
                <w:lang w:eastAsia="ko-KR"/>
              </w:rPr>
              <w:t>75</w:t>
            </w:r>
            <w:r w:rsidRPr="003042AA">
              <w:rPr>
                <w:rFonts w:ascii="Calibri" w:eastAsia="Times New Roman" w:hAnsi="Calibri" w:cs="Times New Roman"/>
                <w:b/>
                <w:color w:val="000000"/>
              </w:rPr>
              <w:t>%</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33%</w:t>
            </w:r>
          </w:p>
        </w:tc>
        <w:tc>
          <w:tcPr>
            <w:tcW w:w="1158"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p>
        </w:tc>
        <w:tc>
          <w:tcPr>
            <w:tcW w:w="1272" w:type="dxa"/>
            <w:tcBorders>
              <w:left w:val="single" w:sz="4" w:space="0" w:color="auto"/>
            </w:tcBorders>
            <w:shd w:val="clear" w:color="000000" w:fill="FFFFFF"/>
            <w:vAlign w:val="bottom"/>
          </w:tcPr>
          <w:p w:rsidR="00814763" w:rsidRPr="00814763" w:rsidRDefault="00814763" w:rsidP="00814763">
            <w:pPr>
              <w:contextualSpacing/>
              <w:jc w:val="right"/>
              <w:rPr>
                <w:rFonts w:ascii="Calibri" w:hAnsi="Calibri"/>
                <w:b/>
              </w:rPr>
            </w:pPr>
            <w:r w:rsidRPr="00814763">
              <w:rPr>
                <w:rFonts w:ascii="Calibri" w:hAnsi="Calibri"/>
                <w:b/>
              </w:rPr>
              <w:t>67%</w:t>
            </w:r>
          </w:p>
        </w:tc>
      </w:tr>
    </w:tbl>
    <w:p w:rsidR="00C70FCE" w:rsidRDefault="00C70FCE" w:rsidP="00BB3F36"/>
    <w:p w:rsidR="00C70FCE" w:rsidRDefault="00C70FCE" w:rsidP="00BB3F36"/>
    <w:p w:rsidR="009A5605" w:rsidRDefault="009A5605" w:rsidP="00BB3F36">
      <w:pPr>
        <w:rPr>
          <w:rFonts w:ascii="Arial" w:hAnsi="Arial" w:cs="Arial"/>
          <w:b/>
        </w:rPr>
      </w:pPr>
      <w:bookmarkStart w:id="1" w:name="_Toc382495783"/>
    </w:p>
    <w:p w:rsidR="009A5605" w:rsidRDefault="009A5605" w:rsidP="00BB3F36">
      <w:pPr>
        <w:rPr>
          <w:rFonts w:ascii="Arial" w:hAnsi="Arial" w:cs="Arial"/>
          <w:b/>
        </w:rPr>
      </w:pPr>
    </w:p>
    <w:p w:rsidR="009A5605" w:rsidRDefault="009A5605" w:rsidP="00BB3F36">
      <w:pPr>
        <w:rPr>
          <w:rFonts w:ascii="Arial" w:hAnsi="Arial" w:cs="Arial"/>
          <w:b/>
        </w:rPr>
      </w:pPr>
    </w:p>
    <w:p w:rsidR="009A5605" w:rsidRDefault="009A5605" w:rsidP="00BB3F36">
      <w:pPr>
        <w:rPr>
          <w:rFonts w:ascii="Arial" w:hAnsi="Arial" w:cs="Arial"/>
          <w:b/>
        </w:rPr>
      </w:pPr>
    </w:p>
    <w:p w:rsidR="009A5605" w:rsidRDefault="009A5605" w:rsidP="00BB3F36">
      <w:pPr>
        <w:rPr>
          <w:rFonts w:ascii="Arial" w:hAnsi="Arial" w:cs="Arial"/>
          <w:b/>
        </w:rPr>
      </w:pPr>
    </w:p>
    <w:p w:rsidR="009A5605" w:rsidRDefault="009A5605" w:rsidP="00BB3F36">
      <w:pPr>
        <w:rPr>
          <w:rFonts w:ascii="Arial" w:hAnsi="Arial" w:cs="Arial"/>
          <w:b/>
        </w:rPr>
      </w:pPr>
    </w:p>
    <w:p w:rsidR="009A5605" w:rsidRDefault="009A5605" w:rsidP="00BB3F36">
      <w:pPr>
        <w:rPr>
          <w:rFonts w:ascii="Arial" w:hAnsi="Arial" w:cs="Arial"/>
          <w:b/>
        </w:rPr>
      </w:pPr>
    </w:p>
    <w:p w:rsidR="009A5605" w:rsidRDefault="009A5605" w:rsidP="00BB3F36">
      <w:pPr>
        <w:rPr>
          <w:rFonts w:ascii="Arial" w:hAnsi="Arial" w:cs="Arial"/>
          <w:b/>
        </w:rPr>
      </w:pPr>
    </w:p>
    <w:p w:rsidR="004A0B4B" w:rsidRPr="00BB3F36" w:rsidRDefault="004A0B4B" w:rsidP="00BB3F36">
      <w:pPr>
        <w:rPr>
          <w:rFonts w:ascii="Arial" w:hAnsi="Arial" w:cs="Arial"/>
          <w:b/>
        </w:rPr>
      </w:pPr>
      <w:r w:rsidRPr="00BB3F36">
        <w:rPr>
          <w:rFonts w:ascii="Arial" w:hAnsi="Arial" w:cs="Arial"/>
          <w:b/>
        </w:rPr>
        <w:t>What are Cancer Incidence &amp; Mortality Rates?</w:t>
      </w:r>
      <w:bookmarkEnd w:id="1"/>
    </w:p>
    <w:p w:rsidR="004A0B4B" w:rsidRPr="00DC7AE5" w:rsidRDefault="004A0B4B" w:rsidP="004A0B4B">
      <w:pPr>
        <w:pStyle w:val="Normal1"/>
        <w:widowControl w:val="0"/>
        <w:rPr>
          <w:sz w:val="14"/>
        </w:rPr>
      </w:pPr>
      <w:r w:rsidRPr="00C220D9">
        <w:t xml:space="preserve"> </w:t>
      </w:r>
    </w:p>
    <w:p w:rsidR="004A0B4B" w:rsidRPr="00C220D9" w:rsidRDefault="004A0B4B" w:rsidP="004A0B4B">
      <w:pPr>
        <w:pStyle w:val="Normal1"/>
        <w:widowControl w:val="0"/>
        <w:jc w:val="both"/>
      </w:pPr>
      <w:r w:rsidRPr="00C220D9">
        <w:t>Cancer incidence rates are measures of the risk of being diagnosed with cancer among the general population, while mortality rates are measures of the risk of dying among the general population. Cancer rates in this document represent the number of new cases of cancer per</w:t>
      </w:r>
      <w:r>
        <w:t xml:space="preserve"> 100,000 population (incidence). </w:t>
      </w:r>
      <w:r w:rsidRPr="00C220D9">
        <w:t>For example, if the state’s average annual lung and bronchus cancer incidence rate among males is 70.0</w:t>
      </w:r>
      <w:r>
        <w:t xml:space="preserve">; </w:t>
      </w:r>
      <w:r w:rsidRPr="00C220D9">
        <w:t>that means for every 100,000 men in a given population approximately 70 new cases of lung and bronchus cancer are diagnosed each year. If the adult male population numbers 500,000, then approximately 350 new cases of lung and bronchus cancer are diagnosed among men each year (five times the number of cases diagnosed in a 100,000 population):</w:t>
      </w:r>
    </w:p>
    <w:p w:rsidR="004A0B4B" w:rsidRPr="00C220D9" w:rsidRDefault="004A0B4B" w:rsidP="004A0B4B">
      <w:pPr>
        <w:pStyle w:val="Normal1"/>
        <w:widowControl w:val="0"/>
      </w:pPr>
      <w:r w:rsidRPr="00C220D9">
        <w:t xml:space="preserve"> </w:t>
      </w:r>
    </w:p>
    <w:p w:rsidR="004A0B4B" w:rsidRPr="00C220D9" w:rsidRDefault="004A0B4B" w:rsidP="004A0B4B">
      <w:pPr>
        <w:pStyle w:val="Normal1"/>
        <w:widowControl w:val="0"/>
        <w:spacing w:after="240"/>
        <w:jc w:val="center"/>
      </w:pPr>
      <w:r w:rsidRPr="00C220D9">
        <w:t xml:space="preserve">70 new cases diagnosed in one year      =   </w:t>
      </w:r>
      <w:r w:rsidRPr="00C220D9">
        <w:tab/>
        <w:t>350 new cases diagnosed in one year</w:t>
      </w:r>
    </w:p>
    <w:p w:rsidR="004A0B4B" w:rsidRPr="00C220D9" w:rsidRDefault="004A0B4B" w:rsidP="004A0B4B">
      <w:pPr>
        <w:pStyle w:val="Normal1"/>
        <w:widowControl w:val="0"/>
        <w:jc w:val="center"/>
      </w:pPr>
      <w:r w:rsidRPr="00C220D9">
        <w:t>100,000 population               500,000 population</w:t>
      </w:r>
    </w:p>
    <w:p w:rsidR="004A0B4B" w:rsidRPr="00C220D9" w:rsidRDefault="004A0B4B" w:rsidP="007B5CBB">
      <w:pPr>
        <w:pStyle w:val="Normal1"/>
        <w:widowControl w:val="0"/>
      </w:pPr>
      <w:r w:rsidRPr="00C220D9">
        <w:t xml:space="preserve"> A similar example can be used for an area smaller than the state or for specific race/ethnic groups. For example, if a county’s adult male population numbers 50,000, then approximately 35 new cases of lung and bronchus cancer are diagnosed among men in the county each year (one-half the number of cases diagnosed in 100,000 population):</w:t>
      </w:r>
    </w:p>
    <w:p w:rsidR="004A0B4B" w:rsidRPr="00C220D9" w:rsidRDefault="004A0B4B" w:rsidP="004A0B4B">
      <w:pPr>
        <w:pStyle w:val="Normal1"/>
        <w:widowControl w:val="0"/>
      </w:pPr>
      <w:r w:rsidRPr="00C220D9">
        <w:t xml:space="preserve"> </w:t>
      </w:r>
    </w:p>
    <w:p w:rsidR="004A0B4B" w:rsidRPr="00C220D9" w:rsidRDefault="004A0B4B" w:rsidP="004A0B4B">
      <w:pPr>
        <w:pStyle w:val="Normal1"/>
        <w:widowControl w:val="0"/>
        <w:spacing w:after="240"/>
        <w:jc w:val="center"/>
      </w:pPr>
      <w:r w:rsidRPr="00C220D9">
        <w:t xml:space="preserve">70 new cases diagnosed in one year     =  </w:t>
      </w:r>
      <w:r w:rsidRPr="00C220D9">
        <w:tab/>
        <w:t xml:space="preserve">35 new cases diagnosed in one year </w:t>
      </w:r>
    </w:p>
    <w:p w:rsidR="004A0B4B" w:rsidRPr="00C220D9" w:rsidRDefault="004A0B4B" w:rsidP="004A0B4B">
      <w:pPr>
        <w:pStyle w:val="Normal1"/>
        <w:widowControl w:val="0"/>
        <w:jc w:val="center"/>
      </w:pPr>
      <w:r w:rsidRPr="00C220D9">
        <w:t>100,000 population               50,000 population</w:t>
      </w:r>
    </w:p>
    <w:p w:rsidR="004A0B4B" w:rsidRPr="00C220D9" w:rsidRDefault="004A0B4B" w:rsidP="004A0B4B">
      <w:pPr>
        <w:pStyle w:val="Normal1"/>
        <w:widowControl w:val="0"/>
        <w:jc w:val="center"/>
      </w:pPr>
      <w:r w:rsidRPr="00C220D9">
        <w:t xml:space="preserve"> </w:t>
      </w:r>
    </w:p>
    <w:p w:rsidR="004A0B4B" w:rsidRDefault="004A0B4B" w:rsidP="004A0B4B">
      <w:pPr>
        <w:pStyle w:val="Normal1"/>
        <w:widowControl w:val="0"/>
        <w:jc w:val="both"/>
      </w:pPr>
      <w:r w:rsidRPr="004A0B4B">
        <w:rPr>
          <w:b/>
        </w:rPr>
        <w:t>Rates provide a useful way to compare the cancer burden irrespective of the actual population size.</w:t>
      </w:r>
      <w:r w:rsidRPr="00C220D9">
        <w:t xml:space="preserve"> Rates can be used to compare demographic groups (males have higher lung cancer rates than females), racial/ethnic groups (Native Hawaiian females have higher breast cancer rates than other racial/ethnic groups), or geographic areas (</w:t>
      </w:r>
      <w:r>
        <w:t>the USAPI has higher cervical cancer rates than the United States)</w:t>
      </w:r>
      <w:r w:rsidRPr="00C220D9">
        <w:t>.</w:t>
      </w:r>
    </w:p>
    <w:p w:rsidR="004A0B4B" w:rsidRPr="00DC7AE5" w:rsidRDefault="004A0B4B" w:rsidP="004A0B4B">
      <w:pPr>
        <w:pStyle w:val="Normal1"/>
        <w:widowControl w:val="0"/>
        <w:jc w:val="both"/>
        <w:rPr>
          <w:sz w:val="14"/>
        </w:rPr>
      </w:pPr>
    </w:p>
    <w:p w:rsidR="004A0B4B" w:rsidRPr="004A0B4B" w:rsidRDefault="004A0B4B" w:rsidP="004A0B4B">
      <w:pPr>
        <w:jc w:val="both"/>
        <w:rPr>
          <w:b/>
          <w:sz w:val="14"/>
        </w:rPr>
      </w:pPr>
      <w:r w:rsidRPr="00A5370B">
        <w:rPr>
          <w:rFonts w:ascii="Arial" w:hAnsi="Arial" w:cs="Arial"/>
        </w:rPr>
        <w:t>Note that because of the small population size in most USAPI jurisdictions, as well as cha</w:t>
      </w:r>
      <w:r>
        <w:rPr>
          <w:rFonts w:ascii="Arial" w:hAnsi="Arial" w:cs="Arial"/>
        </w:rPr>
        <w:t xml:space="preserve">llenges with diagnosing cancer, </w:t>
      </w:r>
      <w:r w:rsidRPr="00A5370B">
        <w:rPr>
          <w:rFonts w:ascii="Arial" w:hAnsi="Arial" w:cs="Arial"/>
        </w:rPr>
        <w:t xml:space="preserve">some cancer types might only have a few cases </w:t>
      </w:r>
      <w:r>
        <w:rPr>
          <w:rFonts w:ascii="Arial" w:hAnsi="Arial" w:cs="Arial"/>
        </w:rPr>
        <w:t>reported</w:t>
      </w:r>
      <w:r w:rsidRPr="00A5370B">
        <w:rPr>
          <w:rFonts w:ascii="Arial" w:hAnsi="Arial" w:cs="Arial"/>
        </w:rPr>
        <w:t xml:space="preserve"> in a 5-year period. </w:t>
      </w:r>
      <w:r w:rsidRPr="004A0B4B">
        <w:rPr>
          <w:rFonts w:ascii="Arial" w:hAnsi="Arial" w:cs="Arial"/>
          <w:b/>
        </w:rPr>
        <w:t xml:space="preserve">To discourage misinterpretation of rates or counts that are unreliable because of the small number, </w:t>
      </w:r>
      <w:r w:rsidR="00BB3F36">
        <w:rPr>
          <w:rFonts w:ascii="Arial" w:hAnsi="Arial" w:cs="Arial"/>
          <w:b/>
          <w:highlight w:val="yellow"/>
        </w:rPr>
        <w:t xml:space="preserve">incidence rates </w:t>
      </w:r>
      <w:r w:rsidRPr="00BB3F36">
        <w:rPr>
          <w:rFonts w:ascii="Arial" w:hAnsi="Arial" w:cs="Arial"/>
          <w:b/>
          <w:highlight w:val="yellow"/>
        </w:rPr>
        <w:t>are not shown in tables if the case counts are below 16.</w:t>
      </w:r>
      <w:r w:rsidRPr="004A0B4B">
        <w:rPr>
          <w:rFonts w:ascii="Arial" w:hAnsi="Arial" w:cs="Arial"/>
          <w:b/>
        </w:rPr>
        <w:t xml:space="preserve"> </w:t>
      </w:r>
      <w:r w:rsidR="00506C83">
        <w:rPr>
          <w:rFonts w:ascii="Arial" w:hAnsi="Arial" w:cs="Arial"/>
          <w:b/>
        </w:rPr>
        <w:t xml:space="preserve"> </w:t>
      </w:r>
      <w:r w:rsidRPr="00ED5F45">
        <w:rPr>
          <w:rFonts w:ascii="Arial" w:hAnsi="Arial" w:cs="Arial"/>
          <w:b/>
          <w:highlight w:val="yellow"/>
        </w:rPr>
        <w:t xml:space="preserve">Crude rates are presented here and can be used </w:t>
      </w:r>
      <w:r w:rsidRPr="00ED5F45">
        <w:rPr>
          <w:rFonts w:ascii="Arial" w:hAnsi="Arial" w:cs="Arial"/>
          <w:b/>
          <w:highlight w:val="yellow"/>
          <w:u w:val="single"/>
        </w:rPr>
        <w:t xml:space="preserve">internally </w:t>
      </w:r>
      <w:r w:rsidRPr="00ED5F45">
        <w:rPr>
          <w:rFonts w:ascii="Arial" w:hAnsi="Arial" w:cs="Arial"/>
          <w:b/>
          <w:highlight w:val="yellow"/>
        </w:rPr>
        <w:t>by the jurisdiction to trend certain cancers over time.</w:t>
      </w:r>
    </w:p>
    <w:p w:rsidR="004A0B4B" w:rsidRPr="00C220D9" w:rsidRDefault="004A0B4B" w:rsidP="004A0B4B">
      <w:pPr>
        <w:pStyle w:val="Normal1"/>
        <w:widowControl w:val="0"/>
        <w:jc w:val="both"/>
      </w:pPr>
      <w:r w:rsidRPr="00C220D9">
        <w:t>Mortality rates depend on the incidence of the cancer, as well as the stage at diagnosis, survival, and treatment for the cancer type. Survival estimates reflect the risk of death among newly</w:t>
      </w:r>
      <w:r>
        <w:rPr>
          <w:sz w:val="24"/>
        </w:rPr>
        <w:t xml:space="preserve"> </w:t>
      </w:r>
      <w:r w:rsidRPr="00C220D9">
        <w:t>diagnosed cancer cases, while mortality rates reflect the risk of death among the general population. New screening programs, aimed at early detection and increased survival, tend to result in a greater number of new cancers being diagnosed (i.e., higher incidence rates) with little delay. However, as most people dying of cancer today were diagnosed several years ago, mortality rates and survival estimates take time to show the influence of new programs</w:t>
      </w:r>
      <w:r>
        <w:t xml:space="preserve">.  </w:t>
      </w:r>
      <w:r w:rsidRPr="001D1D3D">
        <w:rPr>
          <w:b/>
        </w:rPr>
        <w:t xml:space="preserve">Because of present challenges with reporting and recording of deaths in </w:t>
      </w:r>
      <w:r>
        <w:rPr>
          <w:b/>
        </w:rPr>
        <w:t xml:space="preserve">the USAPI, mortality rates are </w:t>
      </w:r>
      <w:r w:rsidRPr="001D1D3D">
        <w:rPr>
          <w:b/>
        </w:rPr>
        <w:t>not presented in this document.</w:t>
      </w:r>
    </w:p>
    <w:p w:rsidR="004A0B4B" w:rsidRDefault="004A0B4B" w:rsidP="004A0B4B">
      <w:pPr>
        <w:pStyle w:val="Normal1"/>
        <w:widowControl w:val="0"/>
        <w:jc w:val="right"/>
        <w:rPr>
          <w:sz w:val="16"/>
          <w:szCs w:val="16"/>
        </w:rPr>
      </w:pPr>
      <w:r>
        <w:rPr>
          <w:sz w:val="16"/>
          <w:szCs w:val="16"/>
        </w:rPr>
        <w:t>Adapted</w:t>
      </w:r>
      <w:r w:rsidRPr="00C220D9">
        <w:rPr>
          <w:sz w:val="16"/>
          <w:szCs w:val="16"/>
        </w:rPr>
        <w:t xml:space="preserve"> from: “Hawaii Cancer Facts &amp; Figures 2010”</w:t>
      </w:r>
      <w:r>
        <w:rPr>
          <w:sz w:val="16"/>
          <w:szCs w:val="16"/>
        </w:rPr>
        <w:t xml:space="preserve"> and </w:t>
      </w:r>
    </w:p>
    <w:p w:rsidR="004A0B4B" w:rsidRPr="00FF5D87" w:rsidRDefault="004A0B4B" w:rsidP="004A0B4B">
      <w:pPr>
        <w:pStyle w:val="NoSpacing"/>
        <w:jc w:val="right"/>
        <w:rPr>
          <w:rFonts w:ascii="Arial" w:hAnsi="Arial" w:cs="Arial"/>
          <w:sz w:val="16"/>
        </w:rPr>
      </w:pPr>
      <w:r w:rsidRPr="00FF5D87">
        <w:rPr>
          <w:rFonts w:ascii="Arial" w:hAnsi="Arial" w:cs="Arial"/>
          <w:sz w:val="16"/>
        </w:rPr>
        <w:t>Suppression for Reliability (CDC National Program of Cancer Registries)</w:t>
      </w:r>
      <w:r>
        <w:rPr>
          <w:rFonts w:ascii="Arial" w:hAnsi="Arial" w:cs="Arial"/>
          <w:sz w:val="16"/>
        </w:rPr>
        <w:t xml:space="preserve"> </w:t>
      </w:r>
      <w:hyperlink r:id="rId7">
        <w:r w:rsidRPr="00FF5D87">
          <w:rPr>
            <w:rFonts w:ascii="Arial" w:hAnsi="Arial" w:cs="Arial"/>
            <w:sz w:val="16"/>
            <w:u w:val="single"/>
          </w:rPr>
          <w:t>http://www.cdc.gov/cancer/npcr/uscs/technical_notes/stat_methods/suppression.htm</w:t>
        </w:r>
      </w:hyperlink>
    </w:p>
    <w:sectPr w:rsidR="004A0B4B" w:rsidRPr="00FF5D87" w:rsidSect="00831FAA">
      <w:headerReference w:type="default" r:id="rId8"/>
      <w:pgSz w:w="15840" w:h="12240" w:orient="landscape"/>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10D" w:rsidRDefault="007F310D" w:rsidP="004A0B4B">
      <w:pPr>
        <w:spacing w:after="0" w:line="240" w:lineRule="auto"/>
      </w:pPr>
      <w:r>
        <w:separator/>
      </w:r>
    </w:p>
  </w:endnote>
  <w:endnote w:type="continuationSeparator" w:id="0">
    <w:p w:rsidR="007F310D" w:rsidRDefault="007F310D" w:rsidP="004A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10D" w:rsidRDefault="007F310D" w:rsidP="004A0B4B">
      <w:pPr>
        <w:spacing w:after="0" w:line="240" w:lineRule="auto"/>
      </w:pPr>
      <w:r>
        <w:separator/>
      </w:r>
    </w:p>
  </w:footnote>
  <w:footnote w:type="continuationSeparator" w:id="0">
    <w:p w:rsidR="007F310D" w:rsidRDefault="007F310D" w:rsidP="004A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4B" w:rsidRPr="004A0B4B" w:rsidRDefault="00CC2C72" w:rsidP="004A0B4B">
    <w:pPr>
      <w:pStyle w:val="Header"/>
      <w:jc w:val="center"/>
      <w:rPr>
        <w:b/>
        <w:sz w:val="28"/>
      </w:rPr>
    </w:pPr>
    <w:r>
      <w:rPr>
        <w:b/>
        <w:sz w:val="28"/>
      </w:rPr>
      <w:t>RMI</w:t>
    </w:r>
    <w:r w:rsidR="004A0B4B" w:rsidRPr="004A0B4B">
      <w:rPr>
        <w:b/>
        <w:sz w:val="28"/>
      </w:rPr>
      <w:t xml:space="preserve"> Cancer Data</w:t>
    </w:r>
    <w:r w:rsidR="002468A4">
      <w:rPr>
        <w:b/>
        <w:sz w:val="28"/>
      </w:rPr>
      <w:t xml:space="preserve"> </w:t>
    </w:r>
    <w:r w:rsidR="004A0B4B" w:rsidRPr="004A0B4B">
      <w:rPr>
        <w:b/>
        <w:sz w:val="28"/>
      </w:rPr>
      <w:t>2007-201</w:t>
    </w:r>
    <w:r w:rsidR="009814EE">
      <w:rPr>
        <w:b/>
        <w:sz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F6A99"/>
    <w:multiLevelType w:val="hybridMultilevel"/>
    <w:tmpl w:val="943A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B4B"/>
    <w:rsid w:val="0000658C"/>
    <w:rsid w:val="00031E5B"/>
    <w:rsid w:val="00102965"/>
    <w:rsid w:val="00147D70"/>
    <w:rsid w:val="001576D2"/>
    <w:rsid w:val="001C4B43"/>
    <w:rsid w:val="001E09B7"/>
    <w:rsid w:val="00216D03"/>
    <w:rsid w:val="002468A4"/>
    <w:rsid w:val="002A243F"/>
    <w:rsid w:val="002B525C"/>
    <w:rsid w:val="002C5593"/>
    <w:rsid w:val="002D4FF1"/>
    <w:rsid w:val="002F2E0F"/>
    <w:rsid w:val="003042AA"/>
    <w:rsid w:val="0034195E"/>
    <w:rsid w:val="00347101"/>
    <w:rsid w:val="003C0EE6"/>
    <w:rsid w:val="003D590A"/>
    <w:rsid w:val="00435830"/>
    <w:rsid w:val="004644C7"/>
    <w:rsid w:val="00490BA9"/>
    <w:rsid w:val="004A0B4B"/>
    <w:rsid w:val="004F13A4"/>
    <w:rsid w:val="00506C83"/>
    <w:rsid w:val="00574AAD"/>
    <w:rsid w:val="00575FA3"/>
    <w:rsid w:val="00591032"/>
    <w:rsid w:val="00593BF0"/>
    <w:rsid w:val="0059661E"/>
    <w:rsid w:val="005E1925"/>
    <w:rsid w:val="00600E94"/>
    <w:rsid w:val="006074F7"/>
    <w:rsid w:val="00624B7C"/>
    <w:rsid w:val="006334EE"/>
    <w:rsid w:val="006A75A9"/>
    <w:rsid w:val="006C04B6"/>
    <w:rsid w:val="00720CB3"/>
    <w:rsid w:val="0075149A"/>
    <w:rsid w:val="00776911"/>
    <w:rsid w:val="00776C37"/>
    <w:rsid w:val="007A053A"/>
    <w:rsid w:val="007B5764"/>
    <w:rsid w:val="007B5CBB"/>
    <w:rsid w:val="007F310D"/>
    <w:rsid w:val="00814763"/>
    <w:rsid w:val="008271A8"/>
    <w:rsid w:val="0083195D"/>
    <w:rsid w:val="00831FAA"/>
    <w:rsid w:val="00837AAB"/>
    <w:rsid w:val="00855EAA"/>
    <w:rsid w:val="00880AFD"/>
    <w:rsid w:val="008D40B3"/>
    <w:rsid w:val="008E17E6"/>
    <w:rsid w:val="0092653F"/>
    <w:rsid w:val="0097560B"/>
    <w:rsid w:val="009814EE"/>
    <w:rsid w:val="009A5605"/>
    <w:rsid w:val="009B3A55"/>
    <w:rsid w:val="009C0471"/>
    <w:rsid w:val="009C5168"/>
    <w:rsid w:val="009F74B7"/>
    <w:rsid w:val="00AB752E"/>
    <w:rsid w:val="00B87A93"/>
    <w:rsid w:val="00BA713D"/>
    <w:rsid w:val="00BB3F36"/>
    <w:rsid w:val="00BD328B"/>
    <w:rsid w:val="00C55400"/>
    <w:rsid w:val="00C70FCE"/>
    <w:rsid w:val="00CC2C72"/>
    <w:rsid w:val="00D079E8"/>
    <w:rsid w:val="00D36A4C"/>
    <w:rsid w:val="00DA09F2"/>
    <w:rsid w:val="00DA5EFA"/>
    <w:rsid w:val="00E02F4C"/>
    <w:rsid w:val="00EB2952"/>
    <w:rsid w:val="00ED5F45"/>
    <w:rsid w:val="00F5554C"/>
    <w:rsid w:val="00F7440A"/>
    <w:rsid w:val="00F818EF"/>
    <w:rsid w:val="00FC60C4"/>
    <w:rsid w:val="00FD4E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80576-2039-4CA0-89E2-0CAE39A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A0B4B"/>
    <w:pPr>
      <w:spacing w:before="200" w:after="0" w:line="271" w:lineRule="auto"/>
      <w:outlineLvl w:val="2"/>
    </w:pPr>
    <w:rPr>
      <w:rFonts w:ascii="Cambria" w:eastAsia="Malgun Gothic" w:hAnsi="Cambria"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4B"/>
  </w:style>
  <w:style w:type="paragraph" w:styleId="Footer">
    <w:name w:val="footer"/>
    <w:basedOn w:val="Normal"/>
    <w:link w:val="FooterChar"/>
    <w:uiPriority w:val="99"/>
    <w:unhideWhenUsed/>
    <w:rsid w:val="004A0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4B"/>
  </w:style>
  <w:style w:type="table" w:customStyle="1" w:styleId="GridTable4-Accent51">
    <w:name w:val="Grid Table 4 - Accent 51"/>
    <w:basedOn w:val="TableNormal"/>
    <w:uiPriority w:val="49"/>
    <w:rsid w:val="004A0B4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4A0B4B"/>
    <w:rPr>
      <w:rFonts w:ascii="Cambria" w:eastAsia="Malgun Gothic" w:hAnsi="Cambria" w:cs="Times New Roman"/>
      <w:b/>
      <w:bCs/>
      <w:sz w:val="20"/>
      <w:szCs w:val="20"/>
      <w:lang w:val="x-none" w:eastAsia="x-none"/>
    </w:rPr>
  </w:style>
  <w:style w:type="paragraph" w:customStyle="1" w:styleId="Normal1">
    <w:name w:val="Normal1"/>
    <w:rsid w:val="004A0B4B"/>
    <w:pPr>
      <w:spacing w:after="0" w:line="276" w:lineRule="auto"/>
    </w:pPr>
    <w:rPr>
      <w:rFonts w:ascii="Arial" w:eastAsia="Arial" w:hAnsi="Arial" w:cs="Arial"/>
      <w:color w:val="000000"/>
    </w:rPr>
  </w:style>
  <w:style w:type="paragraph" w:styleId="NoSpacing">
    <w:name w:val="No Spacing"/>
    <w:basedOn w:val="Normal"/>
    <w:link w:val="NoSpacingChar"/>
    <w:uiPriority w:val="1"/>
    <w:qFormat/>
    <w:rsid w:val="004A0B4B"/>
    <w:pPr>
      <w:spacing w:after="0" w:line="240" w:lineRule="auto"/>
    </w:pPr>
    <w:rPr>
      <w:rFonts w:ascii="Calibri" w:eastAsia="Malgun Gothic" w:hAnsi="Calibri" w:cs="Times New Roman"/>
    </w:rPr>
  </w:style>
  <w:style w:type="character" w:customStyle="1" w:styleId="NoSpacingChar">
    <w:name w:val="No Spacing Char"/>
    <w:basedOn w:val="DefaultParagraphFont"/>
    <w:link w:val="NoSpacing"/>
    <w:uiPriority w:val="1"/>
    <w:rsid w:val="004A0B4B"/>
    <w:rPr>
      <w:rFonts w:ascii="Calibri" w:eastAsia="Malgun Gothic" w:hAnsi="Calibri" w:cs="Times New Roman"/>
    </w:rPr>
  </w:style>
  <w:style w:type="paragraph" w:styleId="ListParagraph">
    <w:name w:val="List Paragraph"/>
    <w:basedOn w:val="Normal"/>
    <w:uiPriority w:val="34"/>
    <w:qFormat/>
    <w:rsid w:val="004F1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5649">
      <w:bodyDiv w:val="1"/>
      <w:marLeft w:val="0"/>
      <w:marRight w:val="0"/>
      <w:marTop w:val="0"/>
      <w:marBottom w:val="0"/>
      <w:divBdr>
        <w:top w:val="none" w:sz="0" w:space="0" w:color="auto"/>
        <w:left w:val="none" w:sz="0" w:space="0" w:color="auto"/>
        <w:bottom w:val="none" w:sz="0" w:space="0" w:color="auto"/>
        <w:right w:val="none" w:sz="0" w:space="0" w:color="auto"/>
      </w:divBdr>
    </w:div>
    <w:div w:id="416559189">
      <w:bodyDiv w:val="1"/>
      <w:marLeft w:val="0"/>
      <w:marRight w:val="0"/>
      <w:marTop w:val="0"/>
      <w:marBottom w:val="0"/>
      <w:divBdr>
        <w:top w:val="none" w:sz="0" w:space="0" w:color="auto"/>
        <w:left w:val="none" w:sz="0" w:space="0" w:color="auto"/>
        <w:bottom w:val="none" w:sz="0" w:space="0" w:color="auto"/>
        <w:right w:val="none" w:sz="0" w:space="0" w:color="auto"/>
      </w:divBdr>
    </w:div>
    <w:div w:id="1053119859">
      <w:bodyDiv w:val="1"/>
      <w:marLeft w:val="0"/>
      <w:marRight w:val="0"/>
      <w:marTop w:val="0"/>
      <w:marBottom w:val="0"/>
      <w:divBdr>
        <w:top w:val="none" w:sz="0" w:space="0" w:color="auto"/>
        <w:left w:val="none" w:sz="0" w:space="0" w:color="auto"/>
        <w:bottom w:val="none" w:sz="0" w:space="0" w:color="auto"/>
        <w:right w:val="none" w:sz="0" w:space="0" w:color="auto"/>
      </w:divBdr>
    </w:div>
    <w:div w:id="11793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cancer/npcr/uscs/technical_notes/stat_methods/suppress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Buenconsejo-Lum</dc:creator>
  <cp:lastModifiedBy>Holly Barker</cp:lastModifiedBy>
  <cp:revision>2</cp:revision>
  <cp:lastPrinted>2015-05-22T18:44:00Z</cp:lastPrinted>
  <dcterms:created xsi:type="dcterms:W3CDTF">2018-07-26T15:07:00Z</dcterms:created>
  <dcterms:modified xsi:type="dcterms:W3CDTF">2018-07-26T15:07:00Z</dcterms:modified>
</cp:coreProperties>
</file>